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46E4" w14:textId="77777777" w:rsidR="00763DA0" w:rsidRDefault="004D1C47" w:rsidP="00763DA0">
      <w:pPr>
        <w:pStyle w:val="1"/>
        <w:tabs>
          <w:tab w:val="left" w:pos="442"/>
        </w:tabs>
        <w:adjustRightInd w:val="0"/>
        <w:snapToGrid w:val="0"/>
        <w:spacing w:afterLines="50" w:after="149"/>
        <w:ind w:left="0" w:firstLine="0"/>
        <w:jc w:val="center"/>
        <w:rPr>
          <w:rFonts w:ascii="Times New Roman" w:hAnsi="Times New Roman" w:cs="Times New Roman"/>
          <w:snapToGrid w:val="0"/>
        </w:rPr>
      </w:pPr>
      <w:r>
        <w:rPr>
          <w:rFonts w:ascii="Times New Roman" w:hAnsi="Times New Roman" w:hint="eastAsia"/>
          <w:snapToGrid w:val="0"/>
        </w:rPr>
        <w:t>审计结果公告</w:t>
      </w:r>
    </w:p>
    <w:p w14:paraId="4E59803B" w14:textId="77777777" w:rsidR="009767FC" w:rsidRPr="00247AA8" w:rsidRDefault="004D1C47" w:rsidP="00763DA0">
      <w:pPr>
        <w:pStyle w:val="1"/>
        <w:tabs>
          <w:tab w:val="left" w:pos="442"/>
        </w:tabs>
        <w:adjustRightInd w:val="0"/>
        <w:snapToGrid w:val="0"/>
        <w:spacing w:afterLines="50" w:after="149"/>
        <w:ind w:left="0" w:firstLine="0"/>
        <w:jc w:val="center"/>
        <w:rPr>
          <w:rFonts w:ascii="Times New Roman" w:hAnsi="Times New Roman" w:cs="Times New Roman"/>
          <w:b w:val="0"/>
          <w:bCs w:val="0"/>
          <w:snapToGrid w:val="0"/>
        </w:rPr>
      </w:pPr>
      <w:r>
        <w:rPr>
          <w:rFonts w:ascii="Times New Roman" w:hAnsi="Times New Roman" w:hint="eastAsia"/>
          <w:snapToGrid w:val="0"/>
        </w:rPr>
        <w:t>2020</w:t>
      </w:r>
      <w:r>
        <w:rPr>
          <w:rFonts w:ascii="Times New Roman" w:hAnsi="Times New Roman" w:hint="eastAsia"/>
          <w:snapToGrid w:val="0"/>
        </w:rPr>
        <w:t>财年</w:t>
      </w:r>
    </w:p>
    <w:tbl>
      <w:tblPr>
        <w:tblStyle w:val="TableNormal1"/>
        <w:tblW w:w="5000" w:type="pct"/>
        <w:tblLayout w:type="fixed"/>
        <w:tblCellMar>
          <w:left w:w="108" w:type="dxa"/>
          <w:right w:w="108" w:type="dxa"/>
        </w:tblCellMar>
        <w:tblLook w:val="01E0" w:firstRow="1" w:lastRow="1" w:firstColumn="1" w:lastColumn="1" w:noHBand="0" w:noVBand="0"/>
      </w:tblPr>
      <w:tblGrid>
        <w:gridCol w:w="3700"/>
        <w:gridCol w:w="1937"/>
        <w:gridCol w:w="413"/>
        <w:gridCol w:w="1807"/>
        <w:gridCol w:w="1209"/>
      </w:tblGrid>
      <w:tr w:rsidR="00881100" w:rsidRPr="00247AA8" w14:paraId="5C3D06FA" w14:textId="77777777" w:rsidTr="00304B4F">
        <w:tc>
          <w:tcPr>
            <w:tcW w:w="3794" w:type="dxa"/>
            <w:vMerge w:val="restart"/>
            <w:tcBorders>
              <w:top w:val="single" w:sz="6" w:space="0" w:color="000000"/>
              <w:left w:val="nil"/>
              <w:right w:val="nil"/>
            </w:tcBorders>
            <w:vAlign w:val="center"/>
          </w:tcPr>
          <w:p w14:paraId="5A992462"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收益</w:t>
            </w:r>
          </w:p>
        </w:tc>
        <w:tc>
          <w:tcPr>
            <w:tcW w:w="1984" w:type="dxa"/>
            <w:tcBorders>
              <w:top w:val="single" w:sz="6" w:space="0" w:color="000000"/>
              <w:left w:val="nil"/>
              <w:bottom w:val="nil"/>
              <w:right w:val="nil"/>
            </w:tcBorders>
            <w:shd w:val="clear" w:color="auto" w:fill="D9D9D9"/>
            <w:vAlign w:val="center"/>
          </w:tcPr>
          <w:p w14:paraId="4015B259"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b/>
                <w:snapToGrid w:val="0"/>
                <w:sz w:val="21"/>
              </w:rPr>
              <w:t>2020</w:t>
            </w:r>
            <w:r>
              <w:rPr>
                <w:rFonts w:ascii="Times New Roman" w:eastAsia="宋体" w:hAnsi="Times New Roman" w:hint="eastAsia"/>
                <w:b/>
                <w:snapToGrid w:val="0"/>
                <w:sz w:val="21"/>
              </w:rPr>
              <w:t>年</w:t>
            </w:r>
          </w:p>
        </w:tc>
        <w:tc>
          <w:tcPr>
            <w:tcW w:w="418" w:type="dxa"/>
            <w:vMerge w:val="restart"/>
            <w:tcBorders>
              <w:top w:val="single" w:sz="6" w:space="0" w:color="000000"/>
              <w:left w:val="nil"/>
              <w:right w:val="nil"/>
            </w:tcBorders>
            <w:vAlign w:val="center"/>
          </w:tcPr>
          <w:p w14:paraId="1B67C5A5" w14:textId="77777777" w:rsidR="00881100" w:rsidRPr="00247AA8" w:rsidRDefault="00881100" w:rsidP="006F1DFA">
            <w:pPr>
              <w:tabs>
                <w:tab w:val="left" w:pos="442"/>
              </w:tabs>
              <w:adjustRightInd w:val="0"/>
              <w:snapToGrid w:val="0"/>
              <w:spacing w:afterLines="50" w:after="149"/>
              <w:jc w:val="both"/>
              <w:rPr>
                <w:rFonts w:ascii="Times New Roman" w:eastAsia="宋体" w:hAnsi="Times New Roman" w:cs="Times New Roman"/>
                <w:snapToGrid w:val="0"/>
                <w:sz w:val="21"/>
              </w:rPr>
            </w:pPr>
          </w:p>
        </w:tc>
        <w:tc>
          <w:tcPr>
            <w:tcW w:w="1850" w:type="dxa"/>
            <w:tcBorders>
              <w:top w:val="single" w:sz="6" w:space="0" w:color="000000"/>
              <w:left w:val="nil"/>
              <w:bottom w:val="nil"/>
              <w:right w:val="nil"/>
            </w:tcBorders>
            <w:shd w:val="clear" w:color="auto" w:fill="D9D9D9"/>
            <w:vAlign w:val="center"/>
          </w:tcPr>
          <w:p w14:paraId="7715FF17"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b/>
                <w:snapToGrid w:val="0"/>
                <w:sz w:val="21"/>
              </w:rPr>
              <w:t>2019</w:t>
            </w:r>
            <w:r>
              <w:rPr>
                <w:rFonts w:ascii="Times New Roman" w:eastAsia="宋体" w:hAnsi="Times New Roman" w:hint="eastAsia"/>
                <w:b/>
                <w:snapToGrid w:val="0"/>
                <w:sz w:val="21"/>
              </w:rPr>
              <w:t>年</w:t>
            </w:r>
          </w:p>
        </w:tc>
        <w:tc>
          <w:tcPr>
            <w:tcW w:w="1236" w:type="dxa"/>
            <w:tcBorders>
              <w:top w:val="single" w:sz="6" w:space="0" w:color="000000"/>
              <w:left w:val="nil"/>
              <w:bottom w:val="nil"/>
              <w:right w:val="nil"/>
            </w:tcBorders>
            <w:vAlign w:val="center"/>
          </w:tcPr>
          <w:p w14:paraId="21E7FF62"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b/>
                <w:snapToGrid w:val="0"/>
                <w:sz w:val="21"/>
              </w:rPr>
              <w:t>%</w:t>
            </w:r>
          </w:p>
        </w:tc>
      </w:tr>
      <w:tr w:rsidR="00881100" w:rsidRPr="00247AA8" w14:paraId="2015E234" w14:textId="77777777" w:rsidTr="00304B4F">
        <w:tc>
          <w:tcPr>
            <w:tcW w:w="3794" w:type="dxa"/>
            <w:vMerge/>
            <w:tcBorders>
              <w:left w:val="nil"/>
              <w:right w:val="nil"/>
            </w:tcBorders>
            <w:vAlign w:val="center"/>
          </w:tcPr>
          <w:p w14:paraId="2C417D63"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984" w:type="dxa"/>
            <w:tcBorders>
              <w:top w:val="nil"/>
              <w:left w:val="nil"/>
              <w:bottom w:val="nil"/>
              <w:right w:val="nil"/>
            </w:tcBorders>
            <w:shd w:val="clear" w:color="auto" w:fill="D9D9D9"/>
            <w:vAlign w:val="center"/>
          </w:tcPr>
          <w:p w14:paraId="67740D43" w14:textId="5F815575" w:rsidR="00881100" w:rsidRPr="00247AA8" w:rsidRDefault="00347F05"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b/>
                <w:bCs/>
                <w:snapToGrid w:val="0"/>
                <w:sz w:val="21"/>
                <w:szCs w:val="18"/>
              </w:rPr>
              <w:t>（单位：</w:t>
            </w:r>
            <w:proofErr w:type="gramStart"/>
            <w:r>
              <w:rPr>
                <w:rFonts w:ascii="Times New Roman" w:eastAsia="宋体" w:hAnsi="Times New Roman" w:hint="eastAsia"/>
                <w:b/>
                <w:bCs/>
                <w:snapToGrid w:val="0"/>
                <w:sz w:val="21"/>
                <w:szCs w:val="18"/>
              </w:rPr>
              <w:t>千新</w:t>
            </w:r>
            <w:r w:rsidR="004D1C47">
              <w:rPr>
                <w:rFonts w:ascii="Times New Roman" w:eastAsia="宋体" w:hAnsi="Times New Roman" w:hint="eastAsia"/>
                <w:b/>
                <w:bCs/>
                <w:snapToGrid w:val="0"/>
                <w:sz w:val="21"/>
                <w:szCs w:val="18"/>
              </w:rPr>
              <w:t>元</w:t>
            </w:r>
            <w:proofErr w:type="gramEnd"/>
            <w:r w:rsidR="004D1C47">
              <w:rPr>
                <w:rFonts w:ascii="Times New Roman" w:eastAsia="宋体" w:hAnsi="Times New Roman" w:hint="eastAsia"/>
                <w:b/>
                <w:bCs/>
                <w:snapToGrid w:val="0"/>
                <w:sz w:val="21"/>
                <w:szCs w:val="18"/>
              </w:rPr>
              <w:t>）</w:t>
            </w:r>
          </w:p>
        </w:tc>
        <w:tc>
          <w:tcPr>
            <w:tcW w:w="418" w:type="dxa"/>
            <w:vMerge/>
            <w:tcBorders>
              <w:left w:val="nil"/>
              <w:right w:val="nil"/>
            </w:tcBorders>
            <w:vAlign w:val="center"/>
          </w:tcPr>
          <w:p w14:paraId="6A2DBC6C"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77A26973" w14:textId="715DA3A3" w:rsidR="00881100" w:rsidRPr="00247AA8" w:rsidRDefault="00347F05"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b/>
                <w:bCs/>
                <w:snapToGrid w:val="0"/>
                <w:sz w:val="21"/>
                <w:szCs w:val="18"/>
              </w:rPr>
              <w:t>（单位：</w:t>
            </w:r>
            <w:proofErr w:type="gramStart"/>
            <w:r>
              <w:rPr>
                <w:rFonts w:ascii="Times New Roman" w:eastAsia="宋体" w:hAnsi="Times New Roman" w:hint="eastAsia"/>
                <w:b/>
                <w:bCs/>
                <w:snapToGrid w:val="0"/>
                <w:sz w:val="21"/>
                <w:szCs w:val="18"/>
              </w:rPr>
              <w:t>千新</w:t>
            </w:r>
            <w:r w:rsidR="004D1C47">
              <w:rPr>
                <w:rFonts w:ascii="Times New Roman" w:eastAsia="宋体" w:hAnsi="Times New Roman" w:hint="eastAsia"/>
                <w:b/>
                <w:bCs/>
                <w:snapToGrid w:val="0"/>
                <w:sz w:val="21"/>
                <w:szCs w:val="18"/>
              </w:rPr>
              <w:t>元</w:t>
            </w:r>
            <w:proofErr w:type="gramEnd"/>
            <w:r w:rsidR="004D1C47">
              <w:rPr>
                <w:rFonts w:ascii="Times New Roman" w:eastAsia="宋体" w:hAnsi="Times New Roman" w:hint="eastAsia"/>
                <w:b/>
                <w:bCs/>
                <w:snapToGrid w:val="0"/>
                <w:sz w:val="21"/>
                <w:szCs w:val="18"/>
              </w:rPr>
              <w:t>）</w:t>
            </w:r>
          </w:p>
        </w:tc>
        <w:tc>
          <w:tcPr>
            <w:tcW w:w="1236" w:type="dxa"/>
            <w:tcBorders>
              <w:top w:val="nil"/>
              <w:left w:val="nil"/>
              <w:bottom w:val="nil"/>
              <w:right w:val="nil"/>
            </w:tcBorders>
            <w:vAlign w:val="center"/>
          </w:tcPr>
          <w:p w14:paraId="2CB46866"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b/>
                <w:snapToGrid w:val="0"/>
                <w:sz w:val="21"/>
              </w:rPr>
              <w:t>变化率</w:t>
            </w:r>
          </w:p>
        </w:tc>
      </w:tr>
      <w:tr w:rsidR="00881100" w:rsidRPr="00247AA8" w14:paraId="091D3CE4" w14:textId="77777777" w:rsidTr="00304B4F">
        <w:tc>
          <w:tcPr>
            <w:tcW w:w="3794" w:type="dxa"/>
            <w:vMerge/>
            <w:tcBorders>
              <w:left w:val="nil"/>
              <w:bottom w:val="nil"/>
              <w:right w:val="nil"/>
            </w:tcBorders>
            <w:vAlign w:val="center"/>
          </w:tcPr>
          <w:p w14:paraId="0293B3DE"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984" w:type="dxa"/>
            <w:tcBorders>
              <w:top w:val="nil"/>
              <w:left w:val="nil"/>
              <w:bottom w:val="nil"/>
              <w:right w:val="nil"/>
            </w:tcBorders>
            <w:shd w:val="clear" w:color="auto" w:fill="D9D9D9"/>
            <w:vAlign w:val="center"/>
          </w:tcPr>
          <w:p w14:paraId="7768105B"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568,203</w:t>
            </w:r>
          </w:p>
        </w:tc>
        <w:tc>
          <w:tcPr>
            <w:tcW w:w="418" w:type="dxa"/>
            <w:vMerge/>
            <w:tcBorders>
              <w:left w:val="nil"/>
              <w:right w:val="nil"/>
            </w:tcBorders>
            <w:vAlign w:val="center"/>
          </w:tcPr>
          <w:p w14:paraId="6E48628D"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69F9B6ED"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522,038</w:t>
            </w:r>
          </w:p>
        </w:tc>
        <w:tc>
          <w:tcPr>
            <w:tcW w:w="1236" w:type="dxa"/>
            <w:tcBorders>
              <w:top w:val="nil"/>
              <w:left w:val="nil"/>
              <w:bottom w:val="nil"/>
              <w:right w:val="nil"/>
            </w:tcBorders>
            <w:vAlign w:val="center"/>
          </w:tcPr>
          <w:p w14:paraId="2BEB9E1B"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8.8</w:t>
            </w:r>
          </w:p>
        </w:tc>
        <w:bookmarkStart w:id="0" w:name="_GoBack"/>
        <w:bookmarkEnd w:id="0"/>
      </w:tr>
      <w:tr w:rsidR="00881100" w:rsidRPr="00247AA8" w14:paraId="29B5B6CB" w14:textId="77777777" w:rsidTr="00304B4F">
        <w:tc>
          <w:tcPr>
            <w:tcW w:w="3794" w:type="dxa"/>
            <w:tcBorders>
              <w:top w:val="nil"/>
              <w:left w:val="nil"/>
              <w:bottom w:val="nil"/>
              <w:right w:val="nil"/>
            </w:tcBorders>
            <w:vAlign w:val="center"/>
          </w:tcPr>
          <w:p w14:paraId="41B5AA74"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税息折旧及摊销前利润</w:t>
            </w:r>
          </w:p>
        </w:tc>
        <w:tc>
          <w:tcPr>
            <w:tcW w:w="1984" w:type="dxa"/>
            <w:tcBorders>
              <w:top w:val="nil"/>
              <w:left w:val="nil"/>
              <w:bottom w:val="nil"/>
              <w:right w:val="nil"/>
            </w:tcBorders>
            <w:shd w:val="clear" w:color="auto" w:fill="D9D9D9"/>
            <w:vAlign w:val="center"/>
          </w:tcPr>
          <w:p w14:paraId="715903BF"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123,937</w:t>
            </w:r>
          </w:p>
        </w:tc>
        <w:tc>
          <w:tcPr>
            <w:tcW w:w="418" w:type="dxa"/>
            <w:vMerge/>
            <w:tcBorders>
              <w:left w:val="nil"/>
              <w:right w:val="nil"/>
            </w:tcBorders>
            <w:vAlign w:val="center"/>
          </w:tcPr>
          <w:p w14:paraId="7EF1ADE5"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18A91F9B"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105,428</w:t>
            </w:r>
          </w:p>
        </w:tc>
        <w:tc>
          <w:tcPr>
            <w:tcW w:w="1236" w:type="dxa"/>
            <w:tcBorders>
              <w:top w:val="nil"/>
              <w:left w:val="nil"/>
              <w:bottom w:val="nil"/>
              <w:right w:val="nil"/>
            </w:tcBorders>
            <w:vAlign w:val="center"/>
          </w:tcPr>
          <w:p w14:paraId="2B2E4910"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17.6</w:t>
            </w:r>
          </w:p>
        </w:tc>
      </w:tr>
      <w:tr w:rsidR="00881100" w:rsidRPr="00247AA8" w14:paraId="3B1F0FFB" w14:textId="77777777" w:rsidTr="00304B4F">
        <w:tc>
          <w:tcPr>
            <w:tcW w:w="3794" w:type="dxa"/>
            <w:tcBorders>
              <w:top w:val="nil"/>
              <w:left w:val="nil"/>
              <w:bottom w:val="nil"/>
              <w:right w:val="nil"/>
            </w:tcBorders>
            <w:vAlign w:val="center"/>
          </w:tcPr>
          <w:p w14:paraId="3B324444"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营业利润</w:t>
            </w:r>
          </w:p>
        </w:tc>
        <w:tc>
          <w:tcPr>
            <w:tcW w:w="1984" w:type="dxa"/>
            <w:tcBorders>
              <w:top w:val="nil"/>
              <w:left w:val="nil"/>
              <w:bottom w:val="nil"/>
              <w:right w:val="nil"/>
            </w:tcBorders>
            <w:shd w:val="clear" w:color="auto" w:fill="D9D9D9"/>
            <w:vAlign w:val="center"/>
          </w:tcPr>
          <w:p w14:paraId="1271B93A"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88,442</w:t>
            </w:r>
          </w:p>
        </w:tc>
        <w:tc>
          <w:tcPr>
            <w:tcW w:w="418" w:type="dxa"/>
            <w:vMerge/>
            <w:tcBorders>
              <w:left w:val="nil"/>
              <w:right w:val="nil"/>
            </w:tcBorders>
            <w:vAlign w:val="center"/>
          </w:tcPr>
          <w:p w14:paraId="2FDB955A"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15FD68C7"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76,168</w:t>
            </w:r>
          </w:p>
        </w:tc>
        <w:tc>
          <w:tcPr>
            <w:tcW w:w="1236" w:type="dxa"/>
            <w:tcBorders>
              <w:top w:val="nil"/>
              <w:left w:val="nil"/>
              <w:bottom w:val="nil"/>
              <w:right w:val="nil"/>
            </w:tcBorders>
            <w:vAlign w:val="center"/>
          </w:tcPr>
          <w:p w14:paraId="35A94DEB"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16.1</w:t>
            </w:r>
          </w:p>
        </w:tc>
      </w:tr>
      <w:tr w:rsidR="00881100" w:rsidRPr="00247AA8" w14:paraId="08E52BB6" w14:textId="77777777" w:rsidTr="00304B4F">
        <w:tc>
          <w:tcPr>
            <w:tcW w:w="3794" w:type="dxa"/>
            <w:tcBorders>
              <w:top w:val="nil"/>
              <w:left w:val="nil"/>
              <w:bottom w:val="nil"/>
              <w:right w:val="nil"/>
            </w:tcBorders>
            <w:vAlign w:val="center"/>
          </w:tcPr>
          <w:p w14:paraId="31B4E155"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税后利润</w:t>
            </w:r>
          </w:p>
        </w:tc>
        <w:tc>
          <w:tcPr>
            <w:tcW w:w="1984" w:type="dxa"/>
            <w:tcBorders>
              <w:top w:val="nil"/>
              <w:left w:val="nil"/>
              <w:bottom w:val="nil"/>
              <w:right w:val="nil"/>
            </w:tcBorders>
            <w:shd w:val="clear" w:color="auto" w:fill="D9D9D9"/>
            <w:vAlign w:val="center"/>
          </w:tcPr>
          <w:p w14:paraId="033548DB"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64,670</w:t>
            </w:r>
          </w:p>
        </w:tc>
        <w:tc>
          <w:tcPr>
            <w:tcW w:w="418" w:type="dxa"/>
            <w:vMerge/>
            <w:tcBorders>
              <w:left w:val="nil"/>
              <w:right w:val="nil"/>
            </w:tcBorders>
            <w:vAlign w:val="center"/>
          </w:tcPr>
          <w:p w14:paraId="2E38BE45"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51E82633"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60,522</w:t>
            </w:r>
          </w:p>
        </w:tc>
        <w:tc>
          <w:tcPr>
            <w:tcW w:w="1236" w:type="dxa"/>
            <w:tcBorders>
              <w:top w:val="nil"/>
              <w:left w:val="nil"/>
              <w:bottom w:val="nil"/>
              <w:right w:val="nil"/>
            </w:tcBorders>
            <w:vAlign w:val="center"/>
          </w:tcPr>
          <w:p w14:paraId="520E47CC"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6.9</w:t>
            </w:r>
          </w:p>
        </w:tc>
      </w:tr>
      <w:tr w:rsidR="00881100" w:rsidRPr="00247AA8" w14:paraId="58F13ECE" w14:textId="77777777" w:rsidTr="00304B4F">
        <w:tc>
          <w:tcPr>
            <w:tcW w:w="3794" w:type="dxa"/>
            <w:tcBorders>
              <w:top w:val="nil"/>
              <w:left w:val="nil"/>
              <w:bottom w:val="nil"/>
              <w:right w:val="nil"/>
            </w:tcBorders>
            <w:vAlign w:val="center"/>
          </w:tcPr>
          <w:p w14:paraId="5ACAAD59"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除税及少数股东权益后利润（</w:t>
            </w:r>
            <w:r>
              <w:rPr>
                <w:rFonts w:ascii="Times New Roman" w:eastAsia="宋体" w:hAnsi="Times New Roman" w:hint="eastAsia"/>
                <w:b/>
                <w:snapToGrid w:val="0"/>
                <w:sz w:val="21"/>
              </w:rPr>
              <w:t>PATMI</w:t>
            </w:r>
            <w:r>
              <w:rPr>
                <w:rFonts w:ascii="Times New Roman" w:eastAsia="宋体" w:hAnsi="Times New Roman" w:hint="eastAsia"/>
                <w:b/>
                <w:snapToGrid w:val="0"/>
                <w:sz w:val="21"/>
              </w:rPr>
              <w:t>）</w:t>
            </w:r>
          </w:p>
        </w:tc>
        <w:tc>
          <w:tcPr>
            <w:tcW w:w="1984" w:type="dxa"/>
            <w:tcBorders>
              <w:top w:val="nil"/>
              <w:left w:val="nil"/>
              <w:bottom w:val="nil"/>
              <w:right w:val="nil"/>
            </w:tcBorders>
            <w:shd w:val="clear" w:color="auto" w:fill="D9D9D9"/>
            <w:vAlign w:val="center"/>
          </w:tcPr>
          <w:p w14:paraId="2C690D12"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65,891</w:t>
            </w:r>
          </w:p>
        </w:tc>
        <w:tc>
          <w:tcPr>
            <w:tcW w:w="418" w:type="dxa"/>
            <w:vMerge/>
            <w:tcBorders>
              <w:left w:val="nil"/>
              <w:right w:val="nil"/>
            </w:tcBorders>
            <w:vAlign w:val="center"/>
          </w:tcPr>
          <w:p w14:paraId="552727EE"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5A33BEBC"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60,273</w:t>
            </w:r>
          </w:p>
        </w:tc>
        <w:tc>
          <w:tcPr>
            <w:tcW w:w="1236" w:type="dxa"/>
            <w:tcBorders>
              <w:top w:val="nil"/>
              <w:left w:val="nil"/>
              <w:bottom w:val="nil"/>
              <w:right w:val="nil"/>
            </w:tcBorders>
            <w:vAlign w:val="center"/>
          </w:tcPr>
          <w:p w14:paraId="0E291402"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9.3</w:t>
            </w:r>
          </w:p>
        </w:tc>
      </w:tr>
      <w:tr w:rsidR="00881100" w:rsidRPr="00247AA8" w14:paraId="23FAE65B" w14:textId="77777777" w:rsidTr="00304B4F">
        <w:tc>
          <w:tcPr>
            <w:tcW w:w="3794" w:type="dxa"/>
            <w:tcBorders>
              <w:top w:val="nil"/>
              <w:left w:val="nil"/>
              <w:bottom w:val="nil"/>
              <w:right w:val="nil"/>
            </w:tcBorders>
            <w:vAlign w:val="center"/>
          </w:tcPr>
          <w:p w14:paraId="3A0359E0"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稀释每股收益（单位：分）</w:t>
            </w:r>
          </w:p>
        </w:tc>
        <w:tc>
          <w:tcPr>
            <w:tcW w:w="1984" w:type="dxa"/>
            <w:tcBorders>
              <w:top w:val="nil"/>
              <w:left w:val="nil"/>
              <w:bottom w:val="nil"/>
              <w:right w:val="nil"/>
            </w:tcBorders>
            <w:shd w:val="clear" w:color="auto" w:fill="D9D9D9"/>
            <w:vAlign w:val="center"/>
          </w:tcPr>
          <w:p w14:paraId="2D9BB593"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3.58</w:t>
            </w:r>
          </w:p>
        </w:tc>
        <w:tc>
          <w:tcPr>
            <w:tcW w:w="418" w:type="dxa"/>
            <w:vMerge/>
            <w:tcBorders>
              <w:left w:val="nil"/>
              <w:right w:val="nil"/>
            </w:tcBorders>
            <w:vAlign w:val="center"/>
          </w:tcPr>
          <w:p w14:paraId="4991A204"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73015695"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3.32</w:t>
            </w:r>
          </w:p>
        </w:tc>
        <w:tc>
          <w:tcPr>
            <w:tcW w:w="1236" w:type="dxa"/>
            <w:tcBorders>
              <w:top w:val="nil"/>
              <w:left w:val="nil"/>
              <w:bottom w:val="nil"/>
              <w:right w:val="nil"/>
            </w:tcBorders>
            <w:vAlign w:val="center"/>
          </w:tcPr>
          <w:p w14:paraId="156377E2"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7.8</w:t>
            </w:r>
          </w:p>
        </w:tc>
      </w:tr>
      <w:tr w:rsidR="00881100" w:rsidRPr="00247AA8" w14:paraId="03E511CD" w14:textId="77777777" w:rsidTr="00304B4F">
        <w:tc>
          <w:tcPr>
            <w:tcW w:w="3794" w:type="dxa"/>
            <w:tcBorders>
              <w:top w:val="nil"/>
              <w:left w:val="nil"/>
              <w:bottom w:val="nil"/>
              <w:right w:val="nil"/>
            </w:tcBorders>
            <w:vAlign w:val="center"/>
          </w:tcPr>
          <w:p w14:paraId="6B63EEF2" w14:textId="77777777" w:rsidR="00881100" w:rsidRPr="00247AA8" w:rsidRDefault="004D1C47" w:rsidP="006F1DFA">
            <w:pPr>
              <w:pStyle w:val="TableParagraph"/>
              <w:tabs>
                <w:tab w:val="left" w:pos="442"/>
              </w:tabs>
              <w:adjustRightInd w:val="0"/>
              <w:snapToGrid w:val="0"/>
              <w:spacing w:afterLines="50" w:after="149"/>
              <w:jc w:val="both"/>
              <w:rPr>
                <w:rFonts w:ascii="Times New Roman" w:eastAsia="宋体" w:hAnsi="Times New Roman" w:cs="Times New Roman"/>
                <w:snapToGrid w:val="0"/>
                <w:sz w:val="21"/>
                <w:szCs w:val="18"/>
              </w:rPr>
            </w:pPr>
            <w:r>
              <w:rPr>
                <w:rFonts w:ascii="Times New Roman" w:eastAsia="宋体" w:hAnsi="Times New Roman" w:hint="eastAsia"/>
                <w:b/>
                <w:snapToGrid w:val="0"/>
                <w:sz w:val="21"/>
              </w:rPr>
              <w:t>每股净值（单位：分）</w:t>
            </w:r>
          </w:p>
        </w:tc>
        <w:tc>
          <w:tcPr>
            <w:tcW w:w="1984" w:type="dxa"/>
            <w:tcBorders>
              <w:top w:val="nil"/>
              <w:left w:val="nil"/>
              <w:bottom w:val="nil"/>
              <w:right w:val="nil"/>
            </w:tcBorders>
            <w:shd w:val="clear" w:color="auto" w:fill="D9D9D9"/>
            <w:vAlign w:val="center"/>
          </w:tcPr>
          <w:p w14:paraId="73D2BB76"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48.22</w:t>
            </w:r>
          </w:p>
        </w:tc>
        <w:tc>
          <w:tcPr>
            <w:tcW w:w="418" w:type="dxa"/>
            <w:vMerge/>
            <w:tcBorders>
              <w:left w:val="nil"/>
              <w:bottom w:val="nil"/>
              <w:right w:val="nil"/>
            </w:tcBorders>
            <w:vAlign w:val="center"/>
          </w:tcPr>
          <w:p w14:paraId="766EA050" w14:textId="77777777" w:rsidR="00881100" w:rsidRPr="00247AA8" w:rsidRDefault="00881100" w:rsidP="006F1DFA">
            <w:pPr>
              <w:tabs>
                <w:tab w:val="left" w:pos="442"/>
              </w:tabs>
              <w:adjustRightInd w:val="0"/>
              <w:snapToGrid w:val="0"/>
              <w:spacing w:afterLines="50" w:after="149"/>
              <w:rPr>
                <w:rFonts w:ascii="Times New Roman" w:eastAsia="宋体" w:hAnsi="Times New Roman" w:cs="Times New Roman"/>
                <w:snapToGrid w:val="0"/>
                <w:sz w:val="21"/>
              </w:rPr>
            </w:pPr>
          </w:p>
        </w:tc>
        <w:tc>
          <w:tcPr>
            <w:tcW w:w="1850" w:type="dxa"/>
            <w:tcBorders>
              <w:top w:val="nil"/>
              <w:left w:val="nil"/>
              <w:bottom w:val="nil"/>
              <w:right w:val="nil"/>
            </w:tcBorders>
            <w:shd w:val="clear" w:color="auto" w:fill="D9D9D9"/>
            <w:vAlign w:val="center"/>
          </w:tcPr>
          <w:p w14:paraId="0D092669" w14:textId="77777777" w:rsidR="00881100" w:rsidRPr="00247AA8" w:rsidRDefault="004D1C47" w:rsidP="006F1DFA">
            <w:pPr>
              <w:pStyle w:val="TableParagraph"/>
              <w:tabs>
                <w:tab w:val="left" w:pos="442"/>
              </w:tabs>
              <w:adjustRightInd w:val="0"/>
              <w:snapToGrid w:val="0"/>
              <w:spacing w:afterLines="50" w:after="149"/>
              <w:jc w:val="center"/>
              <w:rPr>
                <w:rFonts w:ascii="Times New Roman" w:eastAsia="宋体" w:hAnsi="Times New Roman" w:cs="Times New Roman"/>
                <w:snapToGrid w:val="0"/>
                <w:sz w:val="21"/>
                <w:szCs w:val="18"/>
              </w:rPr>
            </w:pPr>
            <w:r>
              <w:rPr>
                <w:rFonts w:ascii="Times New Roman" w:eastAsia="宋体" w:hAnsi="Times New Roman" w:hint="eastAsia"/>
                <w:snapToGrid w:val="0"/>
                <w:sz w:val="21"/>
              </w:rPr>
              <w:t>46.00</w:t>
            </w:r>
          </w:p>
        </w:tc>
        <w:tc>
          <w:tcPr>
            <w:tcW w:w="1236" w:type="dxa"/>
            <w:tcBorders>
              <w:top w:val="nil"/>
              <w:left w:val="nil"/>
              <w:bottom w:val="nil"/>
              <w:right w:val="nil"/>
            </w:tcBorders>
            <w:vAlign w:val="center"/>
          </w:tcPr>
          <w:p w14:paraId="33133BAC" w14:textId="77777777" w:rsidR="00881100" w:rsidRPr="00247AA8" w:rsidRDefault="004D1C47" w:rsidP="006F1DFA">
            <w:pPr>
              <w:pStyle w:val="TableParagraph"/>
              <w:tabs>
                <w:tab w:val="left" w:pos="442"/>
              </w:tabs>
              <w:adjustRightInd w:val="0"/>
              <w:snapToGrid w:val="0"/>
              <w:spacing w:afterLines="50" w:after="149"/>
              <w:jc w:val="right"/>
              <w:rPr>
                <w:rFonts w:ascii="Times New Roman" w:eastAsia="宋体" w:hAnsi="Times New Roman" w:cs="Times New Roman"/>
                <w:snapToGrid w:val="0"/>
                <w:sz w:val="21"/>
                <w:szCs w:val="18"/>
              </w:rPr>
            </w:pPr>
            <w:r>
              <w:rPr>
                <w:rFonts w:ascii="Times New Roman" w:eastAsia="宋体" w:hAnsi="Times New Roman" w:hint="eastAsia"/>
                <w:snapToGrid w:val="0"/>
                <w:sz w:val="21"/>
              </w:rPr>
              <w:t>4.8</w:t>
            </w:r>
          </w:p>
        </w:tc>
      </w:tr>
    </w:tbl>
    <w:p w14:paraId="05E8908F" w14:textId="77777777" w:rsidR="00247AA8" w:rsidRDefault="00247AA8" w:rsidP="009767FC">
      <w:pPr>
        <w:tabs>
          <w:tab w:val="left" w:pos="442"/>
        </w:tabs>
        <w:adjustRightInd w:val="0"/>
        <w:snapToGrid w:val="0"/>
        <w:spacing w:beforeLines="50" w:before="149" w:afterLines="50" w:after="149"/>
        <w:jc w:val="both"/>
        <w:rPr>
          <w:rFonts w:ascii="Times New Roman" w:eastAsia="宋体" w:hAnsi="Times New Roman" w:cs="Times New Roman"/>
          <w:b/>
          <w:snapToGrid w:val="0"/>
          <w:sz w:val="28"/>
        </w:rPr>
      </w:pPr>
    </w:p>
    <w:tbl>
      <w:tblPr>
        <w:tblStyle w:val="ab"/>
        <w:tblW w:w="0" w:type="auto"/>
        <w:tblLook w:val="04A0" w:firstRow="1" w:lastRow="0" w:firstColumn="1" w:lastColumn="0" w:noHBand="0" w:noVBand="1"/>
      </w:tblPr>
      <w:tblGrid>
        <w:gridCol w:w="9056"/>
      </w:tblGrid>
      <w:tr w:rsidR="00247AA8" w14:paraId="53D456F5" w14:textId="77777777" w:rsidTr="00247AA8">
        <w:tc>
          <w:tcPr>
            <w:tcW w:w="9282" w:type="dxa"/>
          </w:tcPr>
          <w:p w14:paraId="45FE826F" w14:textId="77777777" w:rsidR="00247AA8" w:rsidRPr="00247AA8" w:rsidRDefault="00247AA8" w:rsidP="00247AA8">
            <w:pPr>
              <w:tabs>
                <w:tab w:val="left" w:pos="442"/>
              </w:tabs>
              <w:adjustRightInd w:val="0"/>
              <w:snapToGrid w:val="0"/>
              <w:spacing w:beforeLines="50" w:before="149" w:afterLines="50" w:after="149"/>
              <w:jc w:val="both"/>
              <w:rPr>
                <w:rFonts w:ascii="Times New Roman" w:eastAsia="宋体" w:hAnsi="Times New Roman" w:cs="Times New Roman"/>
                <w:snapToGrid w:val="0"/>
                <w:sz w:val="28"/>
                <w:szCs w:val="32"/>
              </w:rPr>
            </w:pPr>
            <w:r>
              <w:rPr>
                <w:rFonts w:ascii="Times New Roman" w:eastAsia="宋体" w:hAnsi="Times New Roman" w:hint="eastAsia"/>
                <w:b/>
                <w:snapToGrid w:val="0"/>
                <w:sz w:val="28"/>
              </w:rPr>
              <w:t>2020</w:t>
            </w:r>
            <w:r>
              <w:rPr>
                <w:rFonts w:ascii="Times New Roman" w:eastAsia="宋体" w:hAnsi="Times New Roman" w:hint="eastAsia"/>
                <w:b/>
                <w:snapToGrid w:val="0"/>
                <w:sz w:val="28"/>
              </w:rPr>
              <w:t>业绩亮点</w:t>
            </w:r>
          </w:p>
          <w:p w14:paraId="4FDEB6E9"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集团收入增长了</w:t>
            </w:r>
            <w:r>
              <w:rPr>
                <w:rFonts w:ascii="Times New Roman" w:eastAsia="宋体" w:hAnsi="Times New Roman" w:hint="eastAsia"/>
                <w:b/>
                <w:snapToGrid w:val="0"/>
                <w:sz w:val="28"/>
              </w:rPr>
              <w:t>8.8%</w:t>
            </w:r>
            <w:r>
              <w:rPr>
                <w:rFonts w:ascii="Times New Roman" w:eastAsia="宋体" w:hAnsi="Times New Roman" w:hint="eastAsia"/>
                <w:snapToGrid w:val="0"/>
                <w:sz w:val="28"/>
              </w:rPr>
              <w:t>，达到</w:t>
            </w:r>
            <w:r>
              <w:rPr>
                <w:rFonts w:ascii="Times New Roman" w:eastAsia="宋体" w:hAnsi="Times New Roman" w:hint="eastAsia"/>
                <w:b/>
                <w:snapToGrid w:val="0"/>
                <w:sz w:val="28"/>
              </w:rPr>
              <w:t>5.682</w:t>
            </w:r>
            <w:r>
              <w:rPr>
                <w:rFonts w:ascii="Times New Roman" w:eastAsia="宋体" w:hAnsi="Times New Roman" w:hint="eastAsia"/>
                <w:b/>
                <w:snapToGrid w:val="0"/>
                <w:sz w:val="28"/>
              </w:rPr>
              <w:t>亿新元</w:t>
            </w:r>
            <w:r>
              <w:rPr>
                <w:rFonts w:ascii="Times New Roman" w:eastAsia="宋体" w:hAnsi="Times New Roman" w:hint="eastAsia"/>
                <w:snapToGrid w:val="0"/>
                <w:sz w:val="28"/>
              </w:rPr>
              <w:t>。</w:t>
            </w:r>
          </w:p>
          <w:p w14:paraId="2E1BF9A3"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税息折旧及摊销前利润增长了</w:t>
            </w:r>
            <w:r>
              <w:rPr>
                <w:rFonts w:ascii="Times New Roman" w:eastAsia="宋体" w:hAnsi="Times New Roman" w:hint="eastAsia"/>
                <w:b/>
                <w:snapToGrid w:val="0"/>
                <w:sz w:val="28"/>
              </w:rPr>
              <w:t xml:space="preserve">17.6% </w:t>
            </w:r>
            <w:r>
              <w:rPr>
                <w:rFonts w:ascii="Times New Roman" w:eastAsia="宋体" w:hAnsi="Times New Roman" w:hint="eastAsia"/>
                <w:snapToGrid w:val="0"/>
                <w:sz w:val="28"/>
              </w:rPr>
              <w:t>，达到</w:t>
            </w:r>
            <w:r>
              <w:rPr>
                <w:rFonts w:ascii="Times New Roman" w:eastAsia="宋体" w:hAnsi="Times New Roman" w:hint="eastAsia"/>
                <w:b/>
                <w:snapToGrid w:val="0"/>
                <w:sz w:val="28"/>
              </w:rPr>
              <w:t>1.239</w:t>
            </w:r>
            <w:r>
              <w:rPr>
                <w:rFonts w:ascii="Times New Roman" w:eastAsia="宋体" w:hAnsi="Times New Roman" w:hint="eastAsia"/>
                <w:b/>
                <w:snapToGrid w:val="0"/>
                <w:sz w:val="28"/>
              </w:rPr>
              <w:t>亿新元</w:t>
            </w:r>
            <w:r>
              <w:rPr>
                <w:rFonts w:ascii="Times New Roman" w:eastAsia="宋体" w:hAnsi="Times New Roman" w:hint="eastAsia"/>
                <w:snapToGrid w:val="0"/>
                <w:sz w:val="28"/>
              </w:rPr>
              <w:t>。</w:t>
            </w:r>
          </w:p>
          <w:p w14:paraId="0244B8C3"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医疗服务部门的收入增长了</w:t>
            </w:r>
            <w:r>
              <w:rPr>
                <w:rFonts w:ascii="Times New Roman" w:eastAsia="宋体" w:hAnsi="Times New Roman" w:hint="eastAsia"/>
                <w:b/>
                <w:snapToGrid w:val="0"/>
                <w:sz w:val="28"/>
              </w:rPr>
              <w:t>17.8%</w:t>
            </w:r>
            <w:r>
              <w:rPr>
                <w:rFonts w:ascii="Times New Roman" w:eastAsia="宋体" w:hAnsi="Times New Roman" w:hint="eastAsia"/>
                <w:snapToGrid w:val="0"/>
                <w:sz w:val="28"/>
              </w:rPr>
              <w:t>。</w:t>
            </w:r>
          </w:p>
          <w:p w14:paraId="2170BC73"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医院服务部门的收入增长了</w:t>
            </w:r>
            <w:r>
              <w:rPr>
                <w:rFonts w:ascii="Times New Roman" w:eastAsia="宋体" w:hAnsi="Times New Roman" w:hint="eastAsia"/>
                <w:b/>
                <w:snapToGrid w:val="0"/>
                <w:sz w:val="28"/>
              </w:rPr>
              <w:t>2.1%</w:t>
            </w:r>
            <w:r>
              <w:rPr>
                <w:rFonts w:ascii="Times New Roman" w:eastAsia="宋体" w:hAnsi="Times New Roman" w:hint="eastAsia"/>
                <w:snapToGrid w:val="0"/>
                <w:sz w:val="28"/>
              </w:rPr>
              <w:t>。</w:t>
            </w:r>
          </w:p>
          <w:p w14:paraId="7CFA56AD"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现金</w:t>
            </w:r>
            <w:proofErr w:type="gramStart"/>
            <w:r>
              <w:rPr>
                <w:rFonts w:ascii="Times New Roman" w:eastAsia="宋体" w:hAnsi="Times New Roman" w:hint="eastAsia"/>
                <w:snapToGrid w:val="0"/>
                <w:sz w:val="28"/>
              </w:rPr>
              <w:t>流维持</w:t>
            </w:r>
            <w:proofErr w:type="gramEnd"/>
            <w:r>
              <w:rPr>
                <w:rFonts w:ascii="Times New Roman" w:eastAsia="宋体" w:hAnsi="Times New Roman" w:hint="eastAsia"/>
                <w:snapToGrid w:val="0"/>
                <w:sz w:val="28"/>
              </w:rPr>
              <w:t>在健康水平，达到</w:t>
            </w:r>
            <w:r>
              <w:rPr>
                <w:rFonts w:ascii="Times New Roman" w:eastAsia="宋体" w:hAnsi="Times New Roman" w:hint="eastAsia"/>
                <w:b/>
                <w:snapToGrid w:val="0"/>
                <w:sz w:val="28"/>
              </w:rPr>
              <w:t>2.021</w:t>
            </w:r>
            <w:r>
              <w:rPr>
                <w:rFonts w:ascii="Times New Roman" w:eastAsia="宋体" w:hAnsi="Times New Roman" w:hint="eastAsia"/>
                <w:b/>
                <w:snapToGrid w:val="0"/>
                <w:sz w:val="28"/>
              </w:rPr>
              <w:t>亿新元</w:t>
            </w:r>
            <w:r>
              <w:rPr>
                <w:rFonts w:ascii="Times New Roman" w:eastAsia="宋体" w:hAnsi="Times New Roman" w:hint="eastAsia"/>
                <w:snapToGrid w:val="0"/>
                <w:sz w:val="28"/>
              </w:rPr>
              <w:t>。</w:t>
            </w:r>
          </w:p>
          <w:p w14:paraId="2ADC25F5"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拟派发末期股息为</w:t>
            </w:r>
            <w:r>
              <w:rPr>
                <w:rFonts w:ascii="Times New Roman" w:eastAsia="宋体" w:hAnsi="Times New Roman" w:hint="eastAsia"/>
                <w:b/>
                <w:snapToGrid w:val="0"/>
                <w:sz w:val="28"/>
              </w:rPr>
              <w:t>2.0</w:t>
            </w:r>
            <w:r>
              <w:rPr>
                <w:rFonts w:ascii="Times New Roman" w:eastAsia="宋体" w:hAnsi="Times New Roman" w:hint="eastAsia"/>
                <w:b/>
                <w:snapToGrid w:val="0"/>
                <w:sz w:val="28"/>
              </w:rPr>
              <w:t>分</w:t>
            </w:r>
            <w:r>
              <w:rPr>
                <w:rFonts w:ascii="Times New Roman" w:eastAsia="宋体" w:hAnsi="Times New Roman" w:hint="eastAsia"/>
                <w:snapToGrid w:val="0"/>
                <w:sz w:val="28"/>
              </w:rPr>
              <w:t>/</w:t>
            </w:r>
            <w:r>
              <w:rPr>
                <w:rFonts w:ascii="Times New Roman" w:eastAsia="宋体" w:hAnsi="Times New Roman" w:hint="eastAsia"/>
                <w:snapToGrid w:val="0"/>
                <w:sz w:val="28"/>
              </w:rPr>
              <w:t>股。</w:t>
            </w:r>
          </w:p>
          <w:p w14:paraId="5AA8EC43"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全年股息为</w:t>
            </w:r>
            <w:r>
              <w:rPr>
                <w:rFonts w:ascii="Times New Roman" w:eastAsia="宋体" w:hAnsi="Times New Roman" w:hint="eastAsia"/>
                <w:b/>
                <w:snapToGrid w:val="0"/>
                <w:sz w:val="28"/>
              </w:rPr>
              <w:t>2.5</w:t>
            </w:r>
            <w:r>
              <w:rPr>
                <w:rFonts w:ascii="Times New Roman" w:eastAsia="宋体" w:hAnsi="Times New Roman" w:hint="eastAsia"/>
                <w:b/>
                <w:snapToGrid w:val="0"/>
                <w:sz w:val="28"/>
              </w:rPr>
              <w:t>分</w:t>
            </w:r>
            <w:r>
              <w:rPr>
                <w:rFonts w:ascii="Times New Roman" w:eastAsia="宋体" w:hAnsi="Times New Roman" w:hint="eastAsia"/>
                <w:snapToGrid w:val="0"/>
                <w:sz w:val="28"/>
              </w:rPr>
              <w:t>/</w:t>
            </w:r>
            <w:r>
              <w:rPr>
                <w:rFonts w:ascii="Times New Roman" w:eastAsia="宋体" w:hAnsi="Times New Roman" w:hint="eastAsia"/>
                <w:snapToGrid w:val="0"/>
                <w:sz w:val="28"/>
              </w:rPr>
              <w:t>股。</w:t>
            </w:r>
          </w:p>
          <w:p w14:paraId="1D7CB264" w14:textId="77777777" w:rsidR="00247AA8" w:rsidRPr="00247AA8" w:rsidRDefault="00247AA8" w:rsidP="00247AA8">
            <w:pPr>
              <w:numPr>
                <w:ilvl w:val="0"/>
                <w:numId w:val="4"/>
              </w:numPr>
              <w:tabs>
                <w:tab w:val="left" w:pos="442"/>
              </w:tabs>
              <w:adjustRightInd w:val="0"/>
              <w:snapToGrid w:val="0"/>
              <w:spacing w:afterLines="50" w:after="149"/>
              <w:ind w:left="0" w:firstLine="0"/>
              <w:jc w:val="both"/>
              <w:rPr>
                <w:rFonts w:ascii="Times New Roman" w:eastAsia="宋体" w:hAnsi="Times New Roman" w:cs="Times New Roman"/>
                <w:snapToGrid w:val="0"/>
                <w:sz w:val="28"/>
                <w:szCs w:val="24"/>
              </w:rPr>
            </w:pPr>
            <w:r>
              <w:rPr>
                <w:rFonts w:ascii="Times New Roman" w:eastAsia="宋体" w:hAnsi="Times New Roman" w:hint="eastAsia"/>
                <w:snapToGrid w:val="0"/>
                <w:sz w:val="28"/>
              </w:rPr>
              <w:t>集团建立新的综合资本管理框架。</w:t>
            </w:r>
          </w:p>
        </w:tc>
      </w:tr>
    </w:tbl>
    <w:p w14:paraId="1418CA6D" w14:textId="77777777" w:rsidR="00247AA8" w:rsidRDefault="00247AA8">
      <w:pPr>
        <w:rPr>
          <w:rFonts w:ascii="Times New Roman" w:eastAsia="宋体" w:hAnsi="Times New Roman" w:cs="Times New Roman"/>
          <w:b/>
          <w:snapToGrid w:val="0"/>
          <w:sz w:val="28"/>
        </w:rPr>
      </w:pPr>
      <w:r>
        <w:rPr>
          <w:rFonts w:hint="eastAsia"/>
        </w:rPr>
        <w:br w:type="page"/>
      </w:r>
    </w:p>
    <w:p w14:paraId="161A6DC6"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rPr>
        <w:lastRenderedPageBreak/>
        <w:t>新闻发布稿</w:t>
      </w:r>
    </w:p>
    <w:p w14:paraId="0EF204EC" w14:textId="77777777" w:rsidR="009767FC" w:rsidRPr="00247AA8" w:rsidRDefault="004D1C47" w:rsidP="009767FC">
      <w:pPr>
        <w:tabs>
          <w:tab w:val="left" w:pos="442"/>
        </w:tabs>
        <w:adjustRightInd w:val="0"/>
        <w:snapToGrid w:val="0"/>
        <w:spacing w:afterLines="50" w:after="149"/>
        <w:jc w:val="center"/>
        <w:rPr>
          <w:rFonts w:ascii="Times New Roman" w:eastAsia="宋体" w:hAnsi="Times New Roman" w:cs="Times New Roman"/>
          <w:snapToGrid w:val="0"/>
          <w:sz w:val="28"/>
          <w:szCs w:val="28"/>
        </w:rPr>
      </w:pPr>
      <w:r>
        <w:rPr>
          <w:rFonts w:ascii="Times New Roman" w:eastAsia="宋体" w:hAnsi="Times New Roman" w:hint="eastAsia"/>
          <w:b/>
          <w:snapToGrid w:val="0"/>
          <w:sz w:val="28"/>
        </w:rPr>
        <w:t>在</w:t>
      </w:r>
      <w:r>
        <w:rPr>
          <w:rFonts w:ascii="Times New Roman" w:eastAsia="宋体" w:hAnsi="Times New Roman" w:hint="eastAsia"/>
          <w:b/>
          <w:snapToGrid w:val="0"/>
          <w:sz w:val="28"/>
        </w:rPr>
        <w:t>2020</w:t>
      </w:r>
      <w:r>
        <w:rPr>
          <w:rFonts w:ascii="Times New Roman" w:eastAsia="宋体" w:hAnsi="Times New Roman" w:hint="eastAsia"/>
          <w:b/>
          <w:snapToGrid w:val="0"/>
          <w:sz w:val="28"/>
        </w:rPr>
        <w:t>财年艰难的市场环境下，</w:t>
      </w:r>
      <w:r>
        <w:rPr>
          <w:rFonts w:ascii="Times New Roman" w:eastAsia="宋体" w:hAnsi="Times New Roman" w:hint="eastAsia"/>
          <w:b/>
          <w:i/>
          <w:snapToGrid w:val="0"/>
          <w:color w:val="007F65"/>
          <w:sz w:val="28"/>
        </w:rPr>
        <w:t>莱佛</w:t>
      </w:r>
      <w:proofErr w:type="gramStart"/>
      <w:r>
        <w:rPr>
          <w:rFonts w:ascii="Times New Roman" w:eastAsia="宋体" w:hAnsi="Times New Roman" w:hint="eastAsia"/>
          <w:b/>
          <w:i/>
          <w:snapToGrid w:val="0"/>
          <w:color w:val="007F65"/>
          <w:sz w:val="28"/>
        </w:rPr>
        <w:t>士</w:t>
      </w:r>
      <w:r>
        <w:rPr>
          <w:rFonts w:ascii="Times New Roman" w:eastAsia="宋体" w:hAnsi="Times New Roman" w:hint="eastAsia"/>
          <w:b/>
          <w:i/>
          <w:snapToGrid w:val="0"/>
          <w:color w:val="57585A"/>
          <w:sz w:val="28"/>
        </w:rPr>
        <w:t>医疗</w:t>
      </w:r>
      <w:proofErr w:type="gramEnd"/>
      <w:r>
        <w:rPr>
          <w:rFonts w:ascii="Times New Roman" w:eastAsia="宋体" w:hAnsi="Times New Roman" w:hint="eastAsia"/>
          <w:b/>
          <w:i/>
          <w:snapToGrid w:val="0"/>
          <w:color w:val="57585A"/>
          <w:sz w:val="28"/>
        </w:rPr>
        <w:t>集团</w:t>
      </w:r>
      <w:r>
        <w:rPr>
          <w:rFonts w:ascii="Times New Roman" w:eastAsia="宋体" w:hAnsi="Times New Roman" w:hint="eastAsia"/>
          <w:b/>
          <w:snapToGrid w:val="0"/>
          <w:sz w:val="28"/>
        </w:rPr>
        <w:t>全年收入</w:t>
      </w:r>
      <w:r>
        <w:rPr>
          <w:rFonts w:ascii="Times New Roman" w:eastAsia="宋体" w:hAnsi="Times New Roman" w:hint="eastAsia"/>
          <w:b/>
          <w:snapToGrid w:val="0"/>
          <w:sz w:val="28"/>
        </w:rPr>
        <w:t>5.682</w:t>
      </w:r>
      <w:r>
        <w:rPr>
          <w:rFonts w:ascii="Times New Roman" w:eastAsia="宋体" w:hAnsi="Times New Roman" w:hint="eastAsia"/>
          <w:b/>
          <w:snapToGrid w:val="0"/>
          <w:sz w:val="28"/>
        </w:rPr>
        <w:t>亿新元，实现税后利润</w:t>
      </w:r>
      <w:r>
        <w:rPr>
          <w:rFonts w:ascii="Times New Roman" w:eastAsia="宋体" w:hAnsi="Times New Roman" w:hint="eastAsia"/>
          <w:b/>
          <w:snapToGrid w:val="0"/>
          <w:sz w:val="28"/>
        </w:rPr>
        <w:t>6470</w:t>
      </w:r>
      <w:r>
        <w:rPr>
          <w:rFonts w:ascii="Times New Roman" w:eastAsia="宋体" w:hAnsi="Times New Roman" w:hint="eastAsia"/>
          <w:b/>
          <w:snapToGrid w:val="0"/>
          <w:sz w:val="28"/>
        </w:rPr>
        <w:t>万新元。</w:t>
      </w:r>
    </w:p>
    <w:p w14:paraId="75B389DA"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新加坡，</w:t>
      </w:r>
      <w:r>
        <w:rPr>
          <w:rFonts w:ascii="Times New Roman" w:hAnsi="Times New Roman" w:hint="eastAsia"/>
          <w:snapToGrid w:val="0"/>
          <w:sz w:val="28"/>
        </w:rPr>
        <w:t>2021</w:t>
      </w:r>
      <w:r>
        <w:rPr>
          <w:rFonts w:ascii="Times New Roman" w:hAnsi="Times New Roman" w:hint="eastAsia"/>
          <w:snapToGrid w:val="0"/>
          <w:sz w:val="28"/>
        </w:rPr>
        <w:t>年</w:t>
      </w:r>
      <w:r>
        <w:rPr>
          <w:rFonts w:ascii="Times New Roman" w:hAnsi="Times New Roman" w:hint="eastAsia"/>
          <w:snapToGrid w:val="0"/>
          <w:sz w:val="28"/>
        </w:rPr>
        <w:t>2</w:t>
      </w:r>
      <w:r>
        <w:rPr>
          <w:rFonts w:ascii="Times New Roman" w:hAnsi="Times New Roman" w:hint="eastAsia"/>
          <w:snapToGrid w:val="0"/>
          <w:sz w:val="28"/>
        </w:rPr>
        <w:t>月</w:t>
      </w:r>
      <w:r>
        <w:rPr>
          <w:rFonts w:ascii="Times New Roman" w:hAnsi="Times New Roman" w:hint="eastAsia"/>
          <w:snapToGrid w:val="0"/>
          <w:sz w:val="28"/>
        </w:rPr>
        <w:t>22</w:t>
      </w:r>
      <w:r>
        <w:rPr>
          <w:rFonts w:ascii="Times New Roman" w:hAnsi="Times New Roman" w:hint="eastAsia"/>
          <w:snapToGrid w:val="0"/>
          <w:sz w:val="28"/>
        </w:rPr>
        <w:t>日</w:t>
      </w:r>
      <w:r>
        <w:rPr>
          <w:rFonts w:ascii="Times New Roman" w:hAnsi="Times New Roman" w:hint="eastAsia"/>
          <w:snapToGrid w:val="0"/>
          <w:sz w:val="28"/>
        </w:rPr>
        <w:t>--</w:t>
      </w:r>
      <w:r>
        <w:rPr>
          <w:rFonts w:ascii="Times New Roman" w:hAnsi="Times New Roman" w:hint="eastAsia"/>
          <w:b/>
          <w:bCs/>
          <w:i/>
          <w:snapToGrid w:val="0"/>
          <w:color w:val="007F65"/>
          <w:sz w:val="28"/>
        </w:rPr>
        <w:t>莱佛</w:t>
      </w:r>
      <w:proofErr w:type="gramStart"/>
      <w:r>
        <w:rPr>
          <w:rFonts w:ascii="Times New Roman" w:hAnsi="Times New Roman" w:hint="eastAsia"/>
          <w:b/>
          <w:bCs/>
          <w:i/>
          <w:snapToGrid w:val="0"/>
          <w:color w:val="007F65"/>
          <w:sz w:val="28"/>
        </w:rPr>
        <w:t>士</w:t>
      </w:r>
      <w:r>
        <w:rPr>
          <w:rFonts w:ascii="Times New Roman" w:hAnsi="Times New Roman" w:hint="eastAsia"/>
          <w:b/>
          <w:bCs/>
          <w:i/>
          <w:snapToGrid w:val="0"/>
          <w:color w:val="57585A"/>
          <w:sz w:val="28"/>
        </w:rPr>
        <w:t>医疗</w:t>
      </w:r>
      <w:proofErr w:type="gramEnd"/>
      <w:r>
        <w:rPr>
          <w:rFonts w:ascii="Times New Roman" w:hAnsi="Times New Roman" w:hint="eastAsia"/>
          <w:b/>
          <w:bCs/>
          <w:i/>
          <w:snapToGrid w:val="0"/>
          <w:color w:val="57585A"/>
          <w:sz w:val="28"/>
        </w:rPr>
        <w:t>集团</w:t>
      </w:r>
      <w:r>
        <w:rPr>
          <w:rFonts w:ascii="Times New Roman" w:hAnsi="Times New Roman" w:hint="eastAsia"/>
          <w:snapToGrid w:val="0"/>
          <w:sz w:val="28"/>
        </w:rPr>
        <w:t>（下文简称“</w:t>
      </w:r>
      <w:r>
        <w:rPr>
          <w:rFonts w:ascii="Times New Roman" w:hAnsi="Times New Roman" w:hint="eastAsia"/>
          <w:b/>
          <w:bCs/>
          <w:snapToGrid w:val="0"/>
          <w:sz w:val="28"/>
        </w:rPr>
        <w:t>集团</w:t>
      </w:r>
      <w:r>
        <w:rPr>
          <w:rFonts w:ascii="Times New Roman" w:hAnsi="Times New Roman" w:hint="eastAsia"/>
          <w:snapToGrid w:val="0"/>
          <w:sz w:val="28"/>
        </w:rPr>
        <w:t>”）公布了</w:t>
      </w:r>
      <w:r>
        <w:rPr>
          <w:rFonts w:ascii="Times New Roman" w:hAnsi="Times New Roman" w:hint="eastAsia"/>
          <w:snapToGrid w:val="0"/>
          <w:sz w:val="28"/>
        </w:rPr>
        <w:t>2020</w:t>
      </w:r>
      <w:r>
        <w:rPr>
          <w:rFonts w:ascii="Times New Roman" w:hAnsi="Times New Roman" w:hint="eastAsia"/>
          <w:snapToGrid w:val="0"/>
          <w:sz w:val="28"/>
        </w:rPr>
        <w:t>财年的强劲业绩。尽管受新冠疫情的影响，市场环境充满挑战，但集团在</w:t>
      </w:r>
      <w:r>
        <w:rPr>
          <w:rFonts w:ascii="Times New Roman" w:hAnsi="Times New Roman" w:hint="eastAsia"/>
          <w:snapToGrid w:val="0"/>
          <w:sz w:val="28"/>
        </w:rPr>
        <w:t>2020</w:t>
      </w:r>
      <w:r>
        <w:rPr>
          <w:rFonts w:ascii="Times New Roman" w:hAnsi="Times New Roman" w:hint="eastAsia"/>
          <w:snapToGrid w:val="0"/>
          <w:sz w:val="28"/>
        </w:rPr>
        <w:t>财年的收入仍从</w:t>
      </w:r>
      <w:r>
        <w:rPr>
          <w:rFonts w:ascii="Times New Roman" w:hAnsi="Times New Roman" w:hint="eastAsia"/>
          <w:snapToGrid w:val="0"/>
          <w:sz w:val="28"/>
        </w:rPr>
        <w:t>2019</w:t>
      </w:r>
      <w:r>
        <w:rPr>
          <w:rFonts w:ascii="Times New Roman" w:hAnsi="Times New Roman" w:hint="eastAsia"/>
          <w:snapToGrid w:val="0"/>
          <w:sz w:val="28"/>
        </w:rPr>
        <w:t>财年的</w:t>
      </w:r>
      <w:r>
        <w:rPr>
          <w:rFonts w:ascii="Times New Roman" w:hAnsi="Times New Roman" w:hint="eastAsia"/>
          <w:b/>
          <w:bCs/>
          <w:snapToGrid w:val="0"/>
          <w:sz w:val="28"/>
        </w:rPr>
        <w:t>5.22</w:t>
      </w:r>
      <w:r>
        <w:rPr>
          <w:rFonts w:ascii="Times New Roman" w:hAnsi="Times New Roman" w:hint="eastAsia"/>
          <w:b/>
          <w:bCs/>
          <w:snapToGrid w:val="0"/>
          <w:sz w:val="28"/>
        </w:rPr>
        <w:t>亿新元</w:t>
      </w:r>
      <w:r>
        <w:rPr>
          <w:rFonts w:ascii="Times New Roman" w:hAnsi="Times New Roman" w:hint="eastAsia"/>
          <w:snapToGrid w:val="0"/>
          <w:sz w:val="28"/>
        </w:rPr>
        <w:t>增长至</w:t>
      </w:r>
      <w:r>
        <w:rPr>
          <w:rFonts w:ascii="Times New Roman" w:hAnsi="Times New Roman" w:hint="eastAsia"/>
          <w:b/>
          <w:bCs/>
          <w:snapToGrid w:val="0"/>
          <w:sz w:val="28"/>
        </w:rPr>
        <w:t>5.682</w:t>
      </w:r>
      <w:r>
        <w:rPr>
          <w:rFonts w:ascii="Times New Roman" w:hAnsi="Times New Roman" w:hint="eastAsia"/>
          <w:b/>
          <w:bCs/>
          <w:snapToGrid w:val="0"/>
          <w:sz w:val="28"/>
        </w:rPr>
        <w:t>亿新元</w:t>
      </w:r>
      <w:r>
        <w:rPr>
          <w:rFonts w:ascii="Times New Roman" w:hAnsi="Times New Roman" w:hint="eastAsia"/>
          <w:snapToGrid w:val="0"/>
          <w:sz w:val="28"/>
        </w:rPr>
        <w:t>，增幅达</w:t>
      </w:r>
      <w:r>
        <w:rPr>
          <w:rFonts w:ascii="Times New Roman" w:hAnsi="Times New Roman" w:hint="eastAsia"/>
          <w:b/>
          <w:bCs/>
          <w:snapToGrid w:val="0"/>
          <w:sz w:val="28"/>
        </w:rPr>
        <w:t>8.8%</w:t>
      </w:r>
      <w:r>
        <w:rPr>
          <w:rFonts w:ascii="Times New Roman" w:hAnsi="Times New Roman" w:hint="eastAsia"/>
          <w:snapToGrid w:val="0"/>
          <w:sz w:val="28"/>
        </w:rPr>
        <w:t>。</w:t>
      </w:r>
    </w:p>
    <w:p w14:paraId="03BC7246" w14:textId="6430F4BC"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2020</w:t>
      </w:r>
      <w:r>
        <w:rPr>
          <w:rFonts w:ascii="Times New Roman" w:hAnsi="Times New Roman" w:hint="eastAsia"/>
          <w:snapToGrid w:val="0"/>
          <w:sz w:val="28"/>
        </w:rPr>
        <w:t>财年上半年，由于新冠疫情的影响，集团面临着严峻的挑战。集团整个区域医疗网络内的所有诊所和医院均须遵从国家疫情封锁措施，暂停非必要的临床服务，推迟选择性的手术，并限制新加坡境内的外国患者外出求医。因此，相比</w:t>
      </w:r>
      <w:r>
        <w:rPr>
          <w:rFonts w:ascii="Times New Roman" w:hAnsi="Times New Roman" w:hint="eastAsia"/>
          <w:snapToGrid w:val="0"/>
          <w:sz w:val="28"/>
        </w:rPr>
        <w:t>2019</w:t>
      </w:r>
      <w:r>
        <w:rPr>
          <w:rFonts w:ascii="Times New Roman" w:hAnsi="Times New Roman" w:hint="eastAsia"/>
          <w:snapToGrid w:val="0"/>
          <w:sz w:val="28"/>
        </w:rPr>
        <w:t>财年上半年，集团在</w:t>
      </w:r>
      <w:r>
        <w:rPr>
          <w:rFonts w:ascii="Times New Roman" w:hAnsi="Times New Roman" w:hint="eastAsia"/>
          <w:snapToGrid w:val="0"/>
          <w:sz w:val="28"/>
        </w:rPr>
        <w:t>2020</w:t>
      </w:r>
      <w:r>
        <w:rPr>
          <w:rFonts w:ascii="Times New Roman" w:hAnsi="Times New Roman" w:hint="eastAsia"/>
          <w:snapToGrid w:val="0"/>
          <w:sz w:val="28"/>
        </w:rPr>
        <w:t>财年上半年的收入减少了</w:t>
      </w:r>
      <w:r>
        <w:rPr>
          <w:rFonts w:ascii="Times New Roman" w:hAnsi="Times New Roman" w:hint="eastAsia"/>
          <w:b/>
          <w:bCs/>
          <w:snapToGrid w:val="0"/>
          <w:sz w:val="28"/>
        </w:rPr>
        <w:t>5.4%</w:t>
      </w:r>
      <w:r w:rsidR="008841ED">
        <w:rPr>
          <w:rFonts w:ascii="Times New Roman" w:hAnsi="Times New Roman" w:hint="eastAsia"/>
          <w:snapToGrid w:val="0"/>
          <w:sz w:val="28"/>
        </w:rPr>
        <w:t>（</w:t>
      </w:r>
      <w:r>
        <w:rPr>
          <w:rFonts w:ascii="Times New Roman" w:hAnsi="Times New Roman" w:hint="eastAsia"/>
          <w:snapToGrid w:val="0"/>
          <w:sz w:val="28"/>
        </w:rPr>
        <w:t>为</w:t>
      </w:r>
      <w:r>
        <w:rPr>
          <w:rFonts w:ascii="Times New Roman" w:hAnsi="Times New Roman" w:hint="eastAsia"/>
          <w:b/>
          <w:bCs/>
          <w:snapToGrid w:val="0"/>
          <w:sz w:val="28"/>
        </w:rPr>
        <w:t>2.414</w:t>
      </w:r>
      <w:r>
        <w:rPr>
          <w:rFonts w:ascii="Times New Roman" w:hAnsi="Times New Roman" w:hint="eastAsia"/>
          <w:b/>
          <w:bCs/>
          <w:snapToGrid w:val="0"/>
          <w:sz w:val="28"/>
        </w:rPr>
        <w:t>亿新元</w:t>
      </w:r>
      <w:r>
        <w:rPr>
          <w:rFonts w:ascii="Times New Roman" w:hAnsi="Times New Roman" w:hint="eastAsia"/>
          <w:snapToGrid w:val="0"/>
          <w:sz w:val="28"/>
        </w:rPr>
        <w:t>），而除税及少数股东权益后利润（</w:t>
      </w:r>
      <w:r>
        <w:rPr>
          <w:rFonts w:ascii="Times New Roman" w:hAnsi="Times New Roman" w:hint="eastAsia"/>
          <w:b/>
          <w:bCs/>
          <w:snapToGrid w:val="0"/>
          <w:sz w:val="28"/>
        </w:rPr>
        <w:t>PATMI</w:t>
      </w:r>
      <w:r>
        <w:rPr>
          <w:rFonts w:ascii="Times New Roman" w:hAnsi="Times New Roman" w:hint="eastAsia"/>
          <w:snapToGrid w:val="0"/>
          <w:sz w:val="28"/>
        </w:rPr>
        <w:t>）则减少了</w:t>
      </w:r>
      <w:r>
        <w:rPr>
          <w:rFonts w:ascii="Times New Roman" w:hAnsi="Times New Roman" w:hint="eastAsia"/>
          <w:b/>
          <w:bCs/>
          <w:snapToGrid w:val="0"/>
          <w:sz w:val="28"/>
        </w:rPr>
        <w:t>38.2%</w:t>
      </w:r>
      <w:r>
        <w:rPr>
          <w:rFonts w:ascii="Times New Roman" w:hAnsi="Times New Roman" w:hint="eastAsia"/>
          <w:snapToGrid w:val="0"/>
          <w:sz w:val="28"/>
        </w:rPr>
        <w:t>。幸亏政府及时提供支持，集团得以保留所有员工，没有实施任何裁员。为应对新冠疫情影响，集团有效地重新进行人员部署，积极参与政府抗击新冠疫情的国家项目。集团的医生和其他医护人员参与了一系列抗击新冠疫情的项目，如空港边境的新冠检查、外籍劳工和入境旅客的新冠检测，以及照顾数千名确诊的外籍劳工和社区隔离设施内的康复病人。</w:t>
      </w:r>
    </w:p>
    <w:p w14:paraId="6F78A77E"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此外，集团联手卫生部</w:t>
      </w:r>
      <w:r>
        <w:rPr>
          <w:rFonts w:ascii="Times New Roman" w:hAnsi="Times New Roman" w:hint="eastAsia"/>
          <w:snapToGrid w:val="0"/>
          <w:sz w:val="28"/>
        </w:rPr>
        <w:t xml:space="preserve"> (</w:t>
      </w:r>
      <w:r>
        <w:rPr>
          <w:rFonts w:ascii="Times New Roman" w:hAnsi="Times New Roman" w:hint="eastAsia"/>
          <w:b/>
          <w:snapToGrid w:val="0"/>
          <w:sz w:val="28"/>
        </w:rPr>
        <w:t>MOH</w:t>
      </w:r>
      <w:r>
        <w:rPr>
          <w:rFonts w:ascii="Times New Roman" w:hAnsi="Times New Roman" w:hint="eastAsia"/>
          <w:snapToGrid w:val="0"/>
          <w:sz w:val="28"/>
        </w:rPr>
        <w:t>)</w:t>
      </w:r>
      <w:r>
        <w:rPr>
          <w:rFonts w:ascii="Times New Roman" w:hAnsi="Times New Roman" w:hint="eastAsia"/>
          <w:snapToGrid w:val="0"/>
          <w:sz w:val="28"/>
        </w:rPr>
        <w:t>通过紧急医疗合作</w:t>
      </w:r>
      <w:r>
        <w:rPr>
          <w:rFonts w:ascii="Times New Roman" w:hAnsi="Times New Roman" w:hint="eastAsia"/>
          <w:snapToGrid w:val="0"/>
          <w:sz w:val="28"/>
        </w:rPr>
        <w:t>(</w:t>
      </w:r>
      <w:r>
        <w:rPr>
          <w:rFonts w:ascii="Times New Roman" w:hAnsi="Times New Roman" w:hint="eastAsia"/>
          <w:b/>
          <w:snapToGrid w:val="0"/>
          <w:sz w:val="28"/>
        </w:rPr>
        <w:t>ECC</w:t>
      </w:r>
      <w:r>
        <w:rPr>
          <w:rFonts w:ascii="Times New Roman" w:hAnsi="Times New Roman" w:hint="eastAsia"/>
          <w:snapToGrid w:val="0"/>
          <w:sz w:val="28"/>
        </w:rPr>
        <w:t xml:space="preserve">) </w:t>
      </w:r>
      <w:r>
        <w:rPr>
          <w:rFonts w:ascii="Times New Roman" w:hAnsi="Times New Roman" w:hint="eastAsia"/>
          <w:snapToGrid w:val="0"/>
          <w:sz w:val="28"/>
        </w:rPr>
        <w:t>为更多急症患者提供治疗的同时，还提供新冠病毒聚合酶链反应（</w:t>
      </w:r>
      <w:r>
        <w:rPr>
          <w:rFonts w:ascii="Times New Roman" w:hAnsi="Times New Roman" w:hint="eastAsia"/>
          <w:b/>
          <w:snapToGrid w:val="0"/>
          <w:sz w:val="28"/>
        </w:rPr>
        <w:t>PCR</w:t>
      </w:r>
      <w:r>
        <w:rPr>
          <w:rFonts w:ascii="Times New Roman" w:hAnsi="Times New Roman" w:hint="eastAsia"/>
          <w:snapToGrid w:val="0"/>
          <w:sz w:val="28"/>
        </w:rPr>
        <w:t>）和血清检测等服务。为此，集团在年内增加了</w:t>
      </w:r>
      <w:r>
        <w:rPr>
          <w:rFonts w:ascii="Times New Roman" w:hAnsi="Times New Roman" w:hint="eastAsia"/>
          <w:snapToGrid w:val="0"/>
          <w:sz w:val="28"/>
        </w:rPr>
        <w:t>1,300</w:t>
      </w:r>
      <w:r>
        <w:rPr>
          <w:rFonts w:ascii="Times New Roman" w:hAnsi="Times New Roman" w:hint="eastAsia"/>
          <w:snapToGrid w:val="0"/>
          <w:sz w:val="28"/>
        </w:rPr>
        <w:t>名机动人员。</w:t>
      </w:r>
    </w:p>
    <w:p w14:paraId="02BE723B" w14:textId="3DE0150F"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2020</w:t>
      </w:r>
      <w:r>
        <w:rPr>
          <w:rFonts w:ascii="Times New Roman" w:hAnsi="Times New Roman" w:hint="eastAsia"/>
          <w:snapToGrid w:val="0"/>
          <w:sz w:val="28"/>
        </w:rPr>
        <w:t>财年，集团的除税及少数股东权益后利润（</w:t>
      </w:r>
      <w:r>
        <w:rPr>
          <w:rFonts w:ascii="Times New Roman" w:hAnsi="Times New Roman" w:hint="eastAsia"/>
          <w:snapToGrid w:val="0"/>
          <w:sz w:val="28"/>
        </w:rPr>
        <w:t>PATMI</w:t>
      </w:r>
      <w:r>
        <w:rPr>
          <w:rFonts w:ascii="Times New Roman" w:hAnsi="Times New Roman" w:hint="eastAsia"/>
          <w:snapToGrid w:val="0"/>
          <w:sz w:val="28"/>
        </w:rPr>
        <w:t>）从</w:t>
      </w:r>
      <w:r>
        <w:rPr>
          <w:rFonts w:ascii="Times New Roman" w:hAnsi="Times New Roman" w:hint="eastAsia"/>
          <w:snapToGrid w:val="0"/>
          <w:sz w:val="28"/>
        </w:rPr>
        <w:t>2019</w:t>
      </w:r>
      <w:r>
        <w:rPr>
          <w:rFonts w:ascii="Times New Roman" w:hAnsi="Times New Roman" w:hint="eastAsia"/>
          <w:snapToGrid w:val="0"/>
          <w:sz w:val="28"/>
        </w:rPr>
        <w:t>财年的</w:t>
      </w:r>
      <w:r>
        <w:rPr>
          <w:rFonts w:ascii="Times New Roman" w:hAnsi="Times New Roman" w:hint="eastAsia"/>
          <w:b/>
          <w:bCs/>
          <w:snapToGrid w:val="0"/>
          <w:sz w:val="28"/>
        </w:rPr>
        <w:t>6030</w:t>
      </w:r>
      <w:r>
        <w:rPr>
          <w:rFonts w:ascii="Times New Roman" w:hAnsi="Times New Roman" w:hint="eastAsia"/>
          <w:b/>
          <w:bCs/>
          <w:snapToGrid w:val="0"/>
          <w:sz w:val="28"/>
        </w:rPr>
        <w:t>万新元</w:t>
      </w:r>
      <w:r>
        <w:rPr>
          <w:rFonts w:ascii="Times New Roman" w:hAnsi="Times New Roman" w:hint="eastAsia"/>
          <w:snapToGrid w:val="0"/>
          <w:sz w:val="28"/>
        </w:rPr>
        <w:t>增长到</w:t>
      </w:r>
      <w:r>
        <w:rPr>
          <w:rFonts w:ascii="Times New Roman" w:hAnsi="Times New Roman" w:hint="eastAsia"/>
          <w:b/>
          <w:bCs/>
          <w:snapToGrid w:val="0"/>
          <w:sz w:val="28"/>
        </w:rPr>
        <w:t>6590</w:t>
      </w:r>
      <w:r>
        <w:rPr>
          <w:rFonts w:ascii="Times New Roman" w:hAnsi="Times New Roman" w:hint="eastAsia"/>
          <w:b/>
          <w:bCs/>
          <w:snapToGrid w:val="0"/>
          <w:sz w:val="28"/>
        </w:rPr>
        <w:t>万新元</w:t>
      </w:r>
      <w:r>
        <w:rPr>
          <w:rFonts w:ascii="Times New Roman" w:hAnsi="Times New Roman" w:hint="eastAsia"/>
          <w:snapToGrid w:val="0"/>
          <w:sz w:val="28"/>
        </w:rPr>
        <w:t>，增幅</w:t>
      </w:r>
      <w:r w:rsidR="009318B0" w:rsidRPr="009318B0">
        <w:rPr>
          <w:rFonts w:ascii="Times New Roman" w:hAnsi="Times New Roman" w:hint="eastAsia"/>
          <w:snapToGrid w:val="0"/>
          <w:sz w:val="28"/>
        </w:rPr>
        <w:t>达</w:t>
      </w:r>
      <w:r>
        <w:rPr>
          <w:rFonts w:ascii="Times New Roman" w:hAnsi="Times New Roman" w:hint="eastAsia"/>
          <w:b/>
          <w:bCs/>
          <w:snapToGrid w:val="0"/>
          <w:sz w:val="28"/>
        </w:rPr>
        <w:t>9.3%</w:t>
      </w:r>
      <w:r>
        <w:rPr>
          <w:rFonts w:ascii="Times New Roman" w:hAnsi="Times New Roman" w:hint="eastAsia"/>
          <w:snapToGrid w:val="0"/>
          <w:sz w:val="28"/>
        </w:rPr>
        <w:t>。不仅如此，集团的税息折旧及摊销前利润</w:t>
      </w:r>
      <w:r>
        <w:rPr>
          <w:rFonts w:ascii="Times New Roman" w:hAnsi="Times New Roman" w:hint="eastAsia"/>
          <w:snapToGrid w:val="0"/>
          <w:sz w:val="28"/>
        </w:rPr>
        <w:t>(</w:t>
      </w:r>
      <w:r>
        <w:rPr>
          <w:rFonts w:ascii="Times New Roman" w:hAnsi="Times New Roman" w:hint="eastAsia"/>
          <w:b/>
          <w:bCs/>
          <w:snapToGrid w:val="0"/>
          <w:sz w:val="28"/>
        </w:rPr>
        <w:t>EBITDA</w:t>
      </w:r>
      <w:r>
        <w:rPr>
          <w:rFonts w:ascii="Times New Roman" w:hAnsi="Times New Roman" w:hint="eastAsia"/>
          <w:snapToGrid w:val="0"/>
          <w:sz w:val="28"/>
        </w:rPr>
        <w:t>)</w:t>
      </w:r>
      <w:r>
        <w:rPr>
          <w:rFonts w:ascii="Times New Roman" w:hAnsi="Times New Roman" w:hint="eastAsia"/>
          <w:snapToGrid w:val="0"/>
          <w:sz w:val="28"/>
        </w:rPr>
        <w:t>从</w:t>
      </w:r>
      <w:r>
        <w:rPr>
          <w:rFonts w:ascii="Times New Roman" w:hAnsi="Times New Roman" w:hint="eastAsia"/>
          <w:snapToGrid w:val="0"/>
          <w:sz w:val="28"/>
        </w:rPr>
        <w:t>2019</w:t>
      </w:r>
      <w:r>
        <w:rPr>
          <w:rFonts w:ascii="Times New Roman" w:hAnsi="Times New Roman" w:hint="eastAsia"/>
          <w:snapToGrid w:val="0"/>
          <w:sz w:val="28"/>
        </w:rPr>
        <w:t>财年的</w:t>
      </w:r>
      <w:r>
        <w:rPr>
          <w:rFonts w:ascii="Times New Roman" w:hAnsi="Times New Roman" w:hint="eastAsia"/>
          <w:b/>
          <w:bCs/>
          <w:snapToGrid w:val="0"/>
          <w:sz w:val="28"/>
        </w:rPr>
        <w:t>1.054</w:t>
      </w:r>
      <w:r>
        <w:rPr>
          <w:rFonts w:ascii="Times New Roman" w:hAnsi="Times New Roman" w:hint="eastAsia"/>
          <w:b/>
          <w:bCs/>
          <w:snapToGrid w:val="0"/>
          <w:sz w:val="28"/>
        </w:rPr>
        <w:t>亿新元</w:t>
      </w:r>
      <w:r>
        <w:rPr>
          <w:rFonts w:ascii="Times New Roman" w:hAnsi="Times New Roman" w:hint="eastAsia"/>
          <w:snapToGrid w:val="0"/>
          <w:sz w:val="28"/>
        </w:rPr>
        <w:t>增长到</w:t>
      </w:r>
      <w:r>
        <w:rPr>
          <w:rFonts w:ascii="Times New Roman" w:hAnsi="Times New Roman" w:hint="eastAsia"/>
          <w:snapToGrid w:val="0"/>
          <w:sz w:val="28"/>
        </w:rPr>
        <w:t>2020</w:t>
      </w:r>
      <w:r>
        <w:rPr>
          <w:rFonts w:ascii="Times New Roman" w:hAnsi="Times New Roman" w:hint="eastAsia"/>
          <w:snapToGrid w:val="0"/>
          <w:sz w:val="28"/>
        </w:rPr>
        <w:t>财年的</w:t>
      </w:r>
      <w:r>
        <w:rPr>
          <w:rFonts w:ascii="Times New Roman" w:hAnsi="Times New Roman" w:hint="eastAsia"/>
          <w:b/>
          <w:bCs/>
          <w:snapToGrid w:val="0"/>
          <w:sz w:val="28"/>
        </w:rPr>
        <w:t>1.239</w:t>
      </w:r>
      <w:r>
        <w:rPr>
          <w:rFonts w:ascii="Times New Roman" w:hAnsi="Times New Roman" w:hint="eastAsia"/>
          <w:b/>
          <w:bCs/>
          <w:snapToGrid w:val="0"/>
          <w:sz w:val="28"/>
        </w:rPr>
        <w:t>亿新元</w:t>
      </w:r>
      <w:r>
        <w:rPr>
          <w:rFonts w:ascii="Times New Roman" w:hAnsi="Times New Roman" w:hint="eastAsia"/>
          <w:snapToGrid w:val="0"/>
          <w:sz w:val="28"/>
        </w:rPr>
        <w:t>，增幅</w:t>
      </w:r>
      <w:r w:rsidR="009318B0">
        <w:rPr>
          <w:rFonts w:ascii="Times New Roman" w:hAnsi="Times New Roman" w:hint="eastAsia"/>
          <w:snapToGrid w:val="0"/>
          <w:sz w:val="28"/>
        </w:rPr>
        <w:t>达</w:t>
      </w:r>
      <w:r>
        <w:rPr>
          <w:rFonts w:ascii="Times New Roman" w:hAnsi="Times New Roman" w:hint="eastAsia"/>
          <w:snapToGrid w:val="0"/>
          <w:sz w:val="28"/>
        </w:rPr>
        <w:t>17.6%</w:t>
      </w:r>
      <w:r>
        <w:rPr>
          <w:rFonts w:ascii="Times New Roman" w:hAnsi="Times New Roman" w:hint="eastAsia"/>
          <w:snapToGrid w:val="0"/>
          <w:sz w:val="28"/>
        </w:rPr>
        <w:t>。</w:t>
      </w:r>
    </w:p>
    <w:p w14:paraId="5F30F2CF" w14:textId="77777777" w:rsidR="00CB0396"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截止至</w:t>
      </w:r>
      <w:r>
        <w:rPr>
          <w:rFonts w:ascii="Times New Roman" w:hAnsi="Times New Roman" w:hint="eastAsia"/>
          <w:snapToGrid w:val="0"/>
          <w:sz w:val="28"/>
        </w:rPr>
        <w:t>2020</w:t>
      </w:r>
      <w:r>
        <w:rPr>
          <w:rFonts w:ascii="Times New Roman" w:hAnsi="Times New Roman" w:hint="eastAsia"/>
          <w:snapToGrid w:val="0"/>
          <w:sz w:val="28"/>
        </w:rPr>
        <w:t>年</w:t>
      </w:r>
      <w:r>
        <w:rPr>
          <w:rFonts w:ascii="Times New Roman" w:hAnsi="Times New Roman" w:hint="eastAsia"/>
          <w:snapToGrid w:val="0"/>
          <w:sz w:val="28"/>
        </w:rPr>
        <w:t>12</w:t>
      </w:r>
      <w:r>
        <w:rPr>
          <w:rFonts w:ascii="Times New Roman" w:hAnsi="Times New Roman" w:hint="eastAsia"/>
          <w:snapToGrid w:val="0"/>
          <w:sz w:val="28"/>
        </w:rPr>
        <w:t>月</w:t>
      </w:r>
      <w:r>
        <w:rPr>
          <w:rFonts w:ascii="Times New Roman" w:hAnsi="Times New Roman" w:hint="eastAsia"/>
          <w:snapToGrid w:val="0"/>
          <w:sz w:val="28"/>
        </w:rPr>
        <w:t>31</w:t>
      </w:r>
      <w:r>
        <w:rPr>
          <w:rFonts w:ascii="Times New Roman" w:hAnsi="Times New Roman" w:hint="eastAsia"/>
          <w:snapToGrid w:val="0"/>
          <w:sz w:val="28"/>
        </w:rPr>
        <w:t>日，集团拥有现金及现金等价物为</w:t>
      </w:r>
      <w:r>
        <w:rPr>
          <w:rFonts w:ascii="Times New Roman" w:hAnsi="Times New Roman" w:hint="eastAsia"/>
          <w:b/>
          <w:bCs/>
          <w:snapToGrid w:val="0"/>
          <w:sz w:val="28"/>
        </w:rPr>
        <w:t>2.021</w:t>
      </w:r>
      <w:r>
        <w:rPr>
          <w:rFonts w:ascii="Times New Roman" w:hAnsi="Times New Roman" w:hint="eastAsia"/>
          <w:b/>
          <w:bCs/>
          <w:snapToGrid w:val="0"/>
          <w:sz w:val="28"/>
        </w:rPr>
        <w:t>亿新元</w:t>
      </w:r>
      <w:r>
        <w:rPr>
          <w:rFonts w:ascii="Times New Roman" w:hAnsi="Times New Roman" w:hint="eastAsia"/>
          <w:snapToGrid w:val="0"/>
          <w:sz w:val="28"/>
        </w:rPr>
        <w:t>。集团净资产负债率保持在</w:t>
      </w:r>
      <w:r>
        <w:rPr>
          <w:rFonts w:ascii="Times New Roman" w:hAnsi="Times New Roman" w:hint="eastAsia"/>
          <w:b/>
          <w:bCs/>
          <w:snapToGrid w:val="0"/>
          <w:sz w:val="28"/>
        </w:rPr>
        <w:t>0.2%</w:t>
      </w:r>
      <w:r>
        <w:rPr>
          <w:rFonts w:ascii="Times New Roman" w:hAnsi="Times New Roman" w:hint="eastAsia"/>
          <w:snapToGrid w:val="0"/>
          <w:sz w:val="28"/>
        </w:rPr>
        <w:t>的低水平，这反映出集团的财务状况稳健有力。</w:t>
      </w:r>
    </w:p>
    <w:p w14:paraId="73DFE3F0" w14:textId="77777777" w:rsidR="00CB0396" w:rsidRDefault="00CB0396">
      <w:pPr>
        <w:rPr>
          <w:rFonts w:ascii="Times New Roman" w:eastAsia="宋体" w:hAnsi="Times New Roman" w:cs="Times New Roman"/>
          <w:snapToGrid w:val="0"/>
          <w:sz w:val="28"/>
        </w:rPr>
      </w:pPr>
      <w:r>
        <w:rPr>
          <w:rFonts w:hint="eastAsia"/>
        </w:rPr>
        <w:br w:type="page"/>
      </w:r>
    </w:p>
    <w:p w14:paraId="6F385EE1"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u w:val="thick" w:color="000000"/>
        </w:rPr>
        <w:lastRenderedPageBreak/>
        <w:t>股息</w:t>
      </w:r>
    </w:p>
    <w:p w14:paraId="609CBEC5" w14:textId="76D34279" w:rsidR="009767FC" w:rsidRPr="00247AA8" w:rsidRDefault="004D1C47" w:rsidP="00CB0396">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董事会建议按</w:t>
      </w:r>
      <w:r>
        <w:rPr>
          <w:rFonts w:ascii="Times New Roman" w:hAnsi="Times New Roman" w:hint="eastAsia"/>
          <w:b/>
          <w:snapToGrid w:val="0"/>
          <w:sz w:val="28"/>
        </w:rPr>
        <w:t>2.0</w:t>
      </w:r>
      <w:r>
        <w:rPr>
          <w:rFonts w:ascii="Times New Roman" w:hAnsi="Times New Roman" w:hint="eastAsia"/>
          <w:b/>
          <w:snapToGrid w:val="0"/>
          <w:sz w:val="28"/>
        </w:rPr>
        <w:t>分</w:t>
      </w:r>
      <w:r>
        <w:rPr>
          <w:rFonts w:ascii="Times New Roman" w:hAnsi="Times New Roman" w:hint="eastAsia"/>
          <w:snapToGrid w:val="0"/>
          <w:sz w:val="28"/>
        </w:rPr>
        <w:t>/</w:t>
      </w:r>
      <w:r>
        <w:rPr>
          <w:rFonts w:ascii="Times New Roman" w:hAnsi="Times New Roman" w:hint="eastAsia"/>
          <w:snapToGrid w:val="0"/>
          <w:sz w:val="28"/>
        </w:rPr>
        <w:t>股派发末期股息。</w:t>
      </w:r>
      <w:r>
        <w:rPr>
          <w:rFonts w:ascii="Times New Roman" w:hAnsi="Times New Roman" w:hint="eastAsia"/>
          <w:snapToGrid w:val="0"/>
          <w:sz w:val="28"/>
        </w:rPr>
        <w:t>2020</w:t>
      </w:r>
      <w:r>
        <w:rPr>
          <w:rFonts w:ascii="Times New Roman" w:hAnsi="Times New Roman" w:hint="eastAsia"/>
          <w:snapToGrid w:val="0"/>
          <w:sz w:val="28"/>
        </w:rPr>
        <w:t>年</w:t>
      </w:r>
      <w:r>
        <w:rPr>
          <w:rFonts w:ascii="Times New Roman" w:hAnsi="Times New Roman" w:hint="eastAsia"/>
          <w:snapToGrid w:val="0"/>
          <w:sz w:val="28"/>
        </w:rPr>
        <w:t>10</w:t>
      </w:r>
      <w:r>
        <w:rPr>
          <w:rFonts w:ascii="Times New Roman" w:hAnsi="Times New Roman" w:hint="eastAsia"/>
          <w:snapToGrid w:val="0"/>
          <w:sz w:val="28"/>
        </w:rPr>
        <w:t>月，集团曾按</w:t>
      </w:r>
      <w:r>
        <w:rPr>
          <w:rFonts w:ascii="Times New Roman" w:hAnsi="Times New Roman" w:hint="eastAsia"/>
          <w:b/>
          <w:snapToGrid w:val="0"/>
          <w:sz w:val="28"/>
        </w:rPr>
        <w:t>0.5</w:t>
      </w:r>
      <w:r>
        <w:rPr>
          <w:rFonts w:ascii="Times New Roman" w:hAnsi="Times New Roman" w:hint="eastAsia"/>
          <w:b/>
          <w:snapToGrid w:val="0"/>
          <w:sz w:val="28"/>
        </w:rPr>
        <w:t>分</w:t>
      </w:r>
      <w:r>
        <w:rPr>
          <w:rFonts w:ascii="Times New Roman" w:hAnsi="Times New Roman" w:hint="eastAsia"/>
          <w:snapToGrid w:val="0"/>
          <w:sz w:val="28"/>
        </w:rPr>
        <w:t>/</w:t>
      </w:r>
      <w:r>
        <w:rPr>
          <w:rFonts w:ascii="Times New Roman" w:hAnsi="Times New Roman" w:hint="eastAsia"/>
          <w:snapToGrid w:val="0"/>
          <w:sz w:val="28"/>
        </w:rPr>
        <w:t>股派发中期股息。因此，集团全年应付总股息为</w:t>
      </w:r>
      <w:r>
        <w:rPr>
          <w:rFonts w:ascii="Times New Roman" w:hAnsi="Times New Roman" w:hint="eastAsia"/>
          <w:b/>
          <w:snapToGrid w:val="0"/>
          <w:sz w:val="28"/>
        </w:rPr>
        <w:t>2.5</w:t>
      </w:r>
      <w:r>
        <w:rPr>
          <w:rFonts w:ascii="Times New Roman" w:hAnsi="Times New Roman" w:hint="eastAsia"/>
          <w:b/>
          <w:snapToGrid w:val="0"/>
          <w:sz w:val="28"/>
        </w:rPr>
        <w:t>分</w:t>
      </w:r>
      <w:r>
        <w:rPr>
          <w:rFonts w:ascii="Times New Roman" w:hAnsi="Times New Roman" w:hint="eastAsia"/>
          <w:snapToGrid w:val="0"/>
          <w:sz w:val="28"/>
        </w:rPr>
        <w:t>/</w:t>
      </w:r>
      <w:r>
        <w:rPr>
          <w:rFonts w:ascii="Times New Roman" w:hAnsi="Times New Roman" w:hint="eastAsia"/>
          <w:snapToGrid w:val="0"/>
          <w:sz w:val="28"/>
        </w:rPr>
        <w:t>股。集团今年将不提供以股代息期权</w:t>
      </w:r>
      <w:r w:rsidR="00B74A20">
        <w:rPr>
          <w:rFonts w:ascii="Times New Roman" w:hAnsi="Times New Roman" w:hint="eastAsia"/>
          <w:snapToGrid w:val="0"/>
          <w:sz w:val="28"/>
        </w:rPr>
        <w:t>。</w:t>
      </w:r>
    </w:p>
    <w:p w14:paraId="784F6E18"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自</w:t>
      </w:r>
      <w:r>
        <w:rPr>
          <w:rFonts w:ascii="Times New Roman" w:hAnsi="Times New Roman" w:hint="eastAsia"/>
          <w:snapToGrid w:val="0"/>
          <w:sz w:val="28"/>
        </w:rPr>
        <w:t>2021</w:t>
      </w:r>
      <w:r>
        <w:rPr>
          <w:rFonts w:ascii="Times New Roman" w:hAnsi="Times New Roman" w:hint="eastAsia"/>
          <w:snapToGrid w:val="0"/>
          <w:sz w:val="28"/>
        </w:rPr>
        <w:t>财年起，董事会建议将中期股息及末期股息合并为全年核心股息，股息金额最高可达其平均可持续的除税及少数股东权益后利润（</w:t>
      </w:r>
      <w:r>
        <w:rPr>
          <w:rFonts w:ascii="Times New Roman" w:hAnsi="Times New Roman" w:hint="eastAsia"/>
          <w:snapToGrid w:val="0"/>
          <w:sz w:val="28"/>
        </w:rPr>
        <w:t>PATMI</w:t>
      </w:r>
      <w:r>
        <w:rPr>
          <w:rFonts w:ascii="Times New Roman" w:hAnsi="Times New Roman" w:hint="eastAsia"/>
          <w:snapToGrid w:val="0"/>
          <w:sz w:val="28"/>
        </w:rPr>
        <w:t>）的一半。考虑到核心股息派发、股份回购、持续增长所需的财务资源以及集团的负债率，董事会可适时考虑派发特别股息。我们认识到，集团正处于成长阶段，负债率较低，每股盈利预期增长。因此，我们建立了一个整体的资本管理框架。今年不提供以股代息期权的决定依据的也是</w:t>
      </w:r>
      <w:proofErr w:type="gramStart"/>
      <w:r>
        <w:rPr>
          <w:rFonts w:ascii="Times New Roman" w:hAnsi="Times New Roman" w:hint="eastAsia"/>
          <w:snapToGrid w:val="0"/>
          <w:sz w:val="28"/>
        </w:rPr>
        <w:t>该资本</w:t>
      </w:r>
      <w:proofErr w:type="gramEnd"/>
      <w:r>
        <w:rPr>
          <w:rFonts w:ascii="Times New Roman" w:hAnsi="Times New Roman" w:hint="eastAsia"/>
          <w:snapToGrid w:val="0"/>
          <w:sz w:val="28"/>
        </w:rPr>
        <w:t>管理框架。</w:t>
      </w:r>
    </w:p>
    <w:p w14:paraId="1A3F8974"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2021</w:t>
      </w:r>
      <w:r>
        <w:rPr>
          <w:rFonts w:ascii="Times New Roman" w:hAnsi="Times New Roman" w:hint="eastAsia"/>
          <w:snapToGrid w:val="0"/>
          <w:sz w:val="28"/>
        </w:rPr>
        <w:t>财年，除非出现不可预见的情况，否则集团预计将按派发不低于</w:t>
      </w:r>
      <w:r>
        <w:rPr>
          <w:rFonts w:ascii="Times New Roman" w:hAnsi="Times New Roman" w:hint="eastAsia"/>
          <w:b/>
          <w:snapToGrid w:val="0"/>
          <w:sz w:val="28"/>
        </w:rPr>
        <w:t>2.5</w:t>
      </w:r>
      <w:r>
        <w:rPr>
          <w:rFonts w:ascii="Times New Roman" w:hAnsi="Times New Roman" w:hint="eastAsia"/>
          <w:snapToGrid w:val="0"/>
          <w:sz w:val="28"/>
        </w:rPr>
        <w:t>分</w:t>
      </w:r>
      <w:r>
        <w:rPr>
          <w:rFonts w:ascii="Times New Roman" w:hAnsi="Times New Roman" w:hint="eastAsia"/>
          <w:snapToGrid w:val="0"/>
          <w:sz w:val="28"/>
        </w:rPr>
        <w:t>/</w:t>
      </w:r>
      <w:r>
        <w:rPr>
          <w:rFonts w:ascii="Times New Roman" w:hAnsi="Times New Roman" w:hint="eastAsia"/>
          <w:snapToGrid w:val="0"/>
          <w:sz w:val="28"/>
        </w:rPr>
        <w:t>股的核心股息及特别股息。</w:t>
      </w:r>
    </w:p>
    <w:p w14:paraId="1288EF00"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鉴于当前形势，除非出现新冠疫情反扑等不可预见的情况，否则集团预计在今年内将保持盈利。</w:t>
      </w:r>
    </w:p>
    <w:p w14:paraId="2A458DE5"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u w:val="thick" w:color="000000"/>
        </w:rPr>
        <w:t>业务更新</w:t>
      </w:r>
    </w:p>
    <w:p w14:paraId="49615B30" w14:textId="77777777" w:rsidR="009767FC" w:rsidRPr="00247AA8" w:rsidRDefault="004D1C47" w:rsidP="009767FC">
      <w:pPr>
        <w:pStyle w:val="3"/>
        <w:tabs>
          <w:tab w:val="left" w:pos="442"/>
        </w:tabs>
        <w:adjustRightInd w:val="0"/>
        <w:snapToGrid w:val="0"/>
        <w:spacing w:before="0" w:afterLines="50" w:after="149"/>
        <w:ind w:left="0"/>
        <w:jc w:val="both"/>
        <w:rPr>
          <w:rFonts w:ascii="Times New Roman" w:hAnsi="Times New Roman" w:cs="Times New Roman"/>
          <w:b w:val="0"/>
          <w:bCs w:val="0"/>
          <w:i w:val="0"/>
          <w:snapToGrid w:val="0"/>
          <w:sz w:val="28"/>
        </w:rPr>
      </w:pPr>
      <w:r>
        <w:rPr>
          <w:rFonts w:ascii="Times New Roman" w:hAnsi="Times New Roman" w:hint="eastAsia"/>
          <w:snapToGrid w:val="0"/>
          <w:sz w:val="28"/>
        </w:rPr>
        <w:t>继续支持新加坡抗击新冠疫情；</w:t>
      </w:r>
    </w:p>
    <w:p w14:paraId="36F427D7" w14:textId="77777777" w:rsidR="009767FC" w:rsidRPr="00247AA8" w:rsidRDefault="004D1C47" w:rsidP="00CB0396">
      <w:pPr>
        <w:pStyle w:val="a3"/>
        <w:numPr>
          <w:ilvl w:val="2"/>
          <w:numId w:val="6"/>
        </w:numPr>
        <w:adjustRightInd w:val="0"/>
        <w:snapToGrid w:val="0"/>
        <w:spacing w:afterLines="50" w:after="149"/>
        <w:ind w:hanging="580"/>
        <w:jc w:val="both"/>
        <w:rPr>
          <w:rFonts w:ascii="Times New Roman" w:hAnsi="Times New Roman" w:cs="Times New Roman"/>
          <w:snapToGrid w:val="0"/>
          <w:sz w:val="28"/>
        </w:rPr>
      </w:pPr>
      <w:r>
        <w:rPr>
          <w:rFonts w:ascii="Times New Roman" w:hAnsi="Times New Roman" w:hint="eastAsia"/>
          <w:snapToGrid w:val="0"/>
          <w:sz w:val="28"/>
        </w:rPr>
        <w:t>随着新冠疫情的缓解以及新加坡和我们海外市场防疫封锁措施的解除，</w:t>
      </w:r>
      <w:r>
        <w:rPr>
          <w:rFonts w:ascii="Times New Roman" w:hAnsi="Times New Roman" w:hint="eastAsia"/>
          <w:b/>
          <w:i/>
          <w:snapToGrid w:val="0"/>
          <w:color w:val="007F65"/>
          <w:sz w:val="28"/>
        </w:rPr>
        <w:t>莱佛</w:t>
      </w:r>
      <w:proofErr w:type="gramStart"/>
      <w:r>
        <w:rPr>
          <w:rFonts w:ascii="Times New Roman" w:hAnsi="Times New Roman" w:hint="eastAsia"/>
          <w:b/>
          <w:i/>
          <w:snapToGrid w:val="0"/>
          <w:color w:val="007F65"/>
          <w:sz w:val="28"/>
        </w:rPr>
        <w:t>士</w:t>
      </w:r>
      <w:r>
        <w:rPr>
          <w:rFonts w:ascii="Times New Roman" w:hAnsi="Times New Roman" w:hint="eastAsia"/>
          <w:b/>
          <w:i/>
          <w:snapToGrid w:val="0"/>
          <w:color w:val="57585A"/>
          <w:sz w:val="28"/>
        </w:rPr>
        <w:t>医疗</w:t>
      </w:r>
      <w:proofErr w:type="gramEnd"/>
      <w:r>
        <w:rPr>
          <w:rFonts w:ascii="Times New Roman" w:hAnsi="Times New Roman" w:hint="eastAsia"/>
          <w:b/>
          <w:i/>
          <w:snapToGrid w:val="0"/>
          <w:color w:val="57585A"/>
          <w:sz w:val="28"/>
        </w:rPr>
        <w:t>集团</w:t>
      </w:r>
      <w:r>
        <w:rPr>
          <w:rFonts w:ascii="Times New Roman" w:hAnsi="Times New Roman" w:hint="eastAsia"/>
          <w:snapToGrid w:val="0"/>
          <w:sz w:val="28"/>
        </w:rPr>
        <w:t>已经发现当地就诊人数在</w:t>
      </w:r>
      <w:r>
        <w:rPr>
          <w:rFonts w:ascii="Times New Roman" w:hAnsi="Times New Roman" w:hint="eastAsia"/>
          <w:snapToGrid w:val="0"/>
          <w:sz w:val="28"/>
        </w:rPr>
        <w:t>2020</w:t>
      </w:r>
      <w:r>
        <w:rPr>
          <w:rFonts w:ascii="Times New Roman" w:hAnsi="Times New Roman" w:hint="eastAsia"/>
          <w:snapToGrid w:val="0"/>
          <w:sz w:val="28"/>
        </w:rPr>
        <w:t>年下半</w:t>
      </w:r>
      <w:proofErr w:type="gramStart"/>
      <w:r>
        <w:rPr>
          <w:rFonts w:ascii="Times New Roman" w:hAnsi="Times New Roman" w:hint="eastAsia"/>
          <w:snapToGrid w:val="0"/>
          <w:sz w:val="28"/>
        </w:rPr>
        <w:t>年逐渐</w:t>
      </w:r>
      <w:proofErr w:type="gramEnd"/>
      <w:r>
        <w:rPr>
          <w:rFonts w:ascii="Times New Roman" w:hAnsi="Times New Roman" w:hint="eastAsia"/>
          <w:snapToGrid w:val="0"/>
          <w:sz w:val="28"/>
        </w:rPr>
        <w:t>恢复到疫情前的水平。此外，因疫情封锁措施而延期的预约和手术将陆续恢复，心理健康等专科领域出现新的增长，这些都为集团的业务发展提供了支持。</w:t>
      </w:r>
    </w:p>
    <w:p w14:paraId="4FA9300E" w14:textId="77777777" w:rsidR="009767FC" w:rsidRPr="00247AA8" w:rsidRDefault="004D1C47" w:rsidP="00CB0396">
      <w:pPr>
        <w:pStyle w:val="a3"/>
        <w:numPr>
          <w:ilvl w:val="2"/>
          <w:numId w:val="6"/>
        </w:numPr>
        <w:adjustRightInd w:val="0"/>
        <w:snapToGrid w:val="0"/>
        <w:spacing w:afterLines="50" w:after="149"/>
        <w:ind w:hanging="580"/>
        <w:jc w:val="both"/>
        <w:rPr>
          <w:rFonts w:ascii="Times New Roman" w:hAnsi="Times New Roman" w:cs="Times New Roman"/>
          <w:snapToGrid w:val="0"/>
          <w:sz w:val="28"/>
        </w:rPr>
      </w:pPr>
      <w:r>
        <w:rPr>
          <w:rFonts w:ascii="Times New Roman" w:hAnsi="Times New Roman" w:hint="eastAsia"/>
          <w:snapToGrid w:val="0"/>
          <w:sz w:val="28"/>
        </w:rPr>
        <w:t>由于持续的出行限制，外国患者仍然无法在新加坡就医。在可预见的未来，这种情况很可能会持续下去。</w:t>
      </w:r>
    </w:p>
    <w:p w14:paraId="28A577D5" w14:textId="77777777" w:rsidR="009767FC" w:rsidRPr="00247AA8" w:rsidRDefault="004D1C47" w:rsidP="00CB0396">
      <w:pPr>
        <w:pStyle w:val="a3"/>
        <w:numPr>
          <w:ilvl w:val="2"/>
          <w:numId w:val="6"/>
        </w:numPr>
        <w:adjustRightInd w:val="0"/>
        <w:snapToGrid w:val="0"/>
        <w:spacing w:afterLines="50" w:after="149"/>
        <w:ind w:hanging="580"/>
        <w:jc w:val="both"/>
        <w:rPr>
          <w:rFonts w:ascii="Times New Roman" w:hAnsi="Times New Roman" w:cs="Times New Roman"/>
          <w:snapToGrid w:val="0"/>
          <w:sz w:val="28"/>
        </w:rPr>
      </w:pPr>
      <w:r>
        <w:rPr>
          <w:rFonts w:ascii="Times New Roman" w:hAnsi="Times New Roman" w:hint="eastAsia"/>
          <w:b/>
          <w:bCs/>
          <w:i/>
          <w:snapToGrid w:val="0"/>
          <w:color w:val="007F65"/>
          <w:sz w:val="28"/>
        </w:rPr>
        <w:t>莱佛</w:t>
      </w:r>
      <w:proofErr w:type="gramStart"/>
      <w:r>
        <w:rPr>
          <w:rFonts w:ascii="Times New Roman" w:hAnsi="Times New Roman" w:hint="eastAsia"/>
          <w:b/>
          <w:bCs/>
          <w:i/>
          <w:snapToGrid w:val="0"/>
          <w:color w:val="007F65"/>
          <w:sz w:val="28"/>
        </w:rPr>
        <w:t>士</w:t>
      </w:r>
      <w:r>
        <w:rPr>
          <w:rFonts w:ascii="Times New Roman" w:hAnsi="Times New Roman" w:hint="eastAsia"/>
          <w:b/>
          <w:bCs/>
          <w:i/>
          <w:snapToGrid w:val="0"/>
          <w:color w:val="57585A"/>
          <w:sz w:val="28"/>
        </w:rPr>
        <w:t>医疗</w:t>
      </w:r>
      <w:proofErr w:type="gramEnd"/>
      <w:r>
        <w:rPr>
          <w:rFonts w:ascii="Times New Roman" w:hAnsi="Times New Roman" w:hint="eastAsia"/>
          <w:b/>
          <w:bCs/>
          <w:i/>
          <w:snapToGrid w:val="0"/>
          <w:color w:val="57585A"/>
          <w:sz w:val="28"/>
        </w:rPr>
        <w:t>集团</w:t>
      </w:r>
      <w:r>
        <w:rPr>
          <w:rFonts w:ascii="Times New Roman" w:hAnsi="Times New Roman" w:hint="eastAsia"/>
          <w:snapToGrid w:val="0"/>
          <w:sz w:val="28"/>
        </w:rPr>
        <w:t>将继续致力于与新加坡政府合作开展抗</w:t>
      </w:r>
      <w:proofErr w:type="gramStart"/>
      <w:r>
        <w:rPr>
          <w:rFonts w:ascii="Times New Roman" w:hAnsi="Times New Roman" w:hint="eastAsia"/>
          <w:snapToGrid w:val="0"/>
          <w:sz w:val="28"/>
        </w:rPr>
        <w:t>疫</w:t>
      </w:r>
      <w:proofErr w:type="gramEnd"/>
      <w:r>
        <w:rPr>
          <w:rFonts w:ascii="Times New Roman" w:hAnsi="Times New Roman" w:hint="eastAsia"/>
          <w:snapToGrid w:val="0"/>
          <w:sz w:val="28"/>
        </w:rPr>
        <w:t>工作。</w:t>
      </w:r>
      <w:r>
        <w:rPr>
          <w:rFonts w:ascii="Times New Roman" w:hAnsi="Times New Roman" w:hint="eastAsia"/>
          <w:snapToGrid w:val="0"/>
          <w:sz w:val="28"/>
        </w:rPr>
        <w:t>2020</w:t>
      </w:r>
      <w:r>
        <w:rPr>
          <w:rFonts w:ascii="Times New Roman" w:hAnsi="Times New Roman" w:hint="eastAsia"/>
          <w:snapToGrid w:val="0"/>
          <w:sz w:val="28"/>
        </w:rPr>
        <w:t>年，集团参与了多个与新冠疫情相关的项目，如空港边境筛查、新冠病毒</w:t>
      </w:r>
      <w:r>
        <w:rPr>
          <w:rFonts w:ascii="Times New Roman" w:hAnsi="Times New Roman" w:hint="eastAsia"/>
          <w:snapToGrid w:val="0"/>
          <w:sz w:val="28"/>
        </w:rPr>
        <w:t>PCR</w:t>
      </w:r>
      <w:r>
        <w:rPr>
          <w:rFonts w:ascii="Times New Roman" w:hAnsi="Times New Roman" w:hint="eastAsia"/>
          <w:snapToGrid w:val="0"/>
          <w:sz w:val="28"/>
        </w:rPr>
        <w:t>和血清检测等。目前，集团正在积极参与新加坡的全国疫苗接种活动。迄今，集团设立的四个疫苗接种中心已经投入使用。未来，集团将在新加坡各地逐步设立更多的此类疫苗接种中心。</w:t>
      </w:r>
    </w:p>
    <w:p w14:paraId="6EF2EBAF" w14:textId="77777777" w:rsidR="00CB0396" w:rsidRDefault="00CB0396">
      <w:pPr>
        <w:rPr>
          <w:rFonts w:ascii="Times New Roman" w:eastAsia="宋体" w:hAnsi="Times New Roman" w:cs="Times New Roman"/>
          <w:snapToGrid w:val="0"/>
          <w:sz w:val="28"/>
          <w:szCs w:val="20"/>
        </w:rPr>
      </w:pPr>
      <w:r>
        <w:rPr>
          <w:rFonts w:hint="eastAsia"/>
        </w:rPr>
        <w:br w:type="page"/>
      </w:r>
    </w:p>
    <w:p w14:paraId="78489973" w14:textId="77777777" w:rsidR="009767FC" w:rsidRPr="00247AA8" w:rsidRDefault="004D1C47" w:rsidP="009767FC">
      <w:pPr>
        <w:pStyle w:val="3"/>
        <w:tabs>
          <w:tab w:val="left" w:pos="442"/>
        </w:tabs>
        <w:adjustRightInd w:val="0"/>
        <w:snapToGrid w:val="0"/>
        <w:spacing w:before="0" w:afterLines="50" w:after="149"/>
        <w:ind w:left="0"/>
        <w:jc w:val="both"/>
        <w:rPr>
          <w:rFonts w:ascii="Times New Roman" w:hAnsi="Times New Roman" w:cs="Times New Roman"/>
          <w:b w:val="0"/>
          <w:bCs w:val="0"/>
          <w:i w:val="0"/>
          <w:snapToGrid w:val="0"/>
          <w:sz w:val="28"/>
        </w:rPr>
      </w:pPr>
      <w:r>
        <w:rPr>
          <w:rFonts w:ascii="Times New Roman" w:hAnsi="Times New Roman" w:hint="eastAsia"/>
          <w:snapToGrid w:val="0"/>
          <w:sz w:val="28"/>
        </w:rPr>
        <w:lastRenderedPageBreak/>
        <w:t>巩固中国市场地位</w:t>
      </w:r>
    </w:p>
    <w:p w14:paraId="1433BACE" w14:textId="77777777" w:rsidR="009767FC" w:rsidRPr="00247AA8" w:rsidRDefault="004D1C47" w:rsidP="00CB0396">
      <w:pPr>
        <w:pStyle w:val="a3"/>
        <w:numPr>
          <w:ilvl w:val="0"/>
          <w:numId w:val="5"/>
        </w:numPr>
        <w:adjustRightInd w:val="0"/>
        <w:snapToGrid w:val="0"/>
        <w:spacing w:afterLines="50" w:after="149"/>
        <w:ind w:left="426" w:hanging="426"/>
        <w:jc w:val="both"/>
        <w:rPr>
          <w:rFonts w:ascii="Times New Roman" w:hAnsi="Times New Roman" w:cs="Times New Roman"/>
          <w:snapToGrid w:val="0"/>
          <w:sz w:val="28"/>
        </w:rPr>
      </w:pPr>
      <w:r>
        <w:rPr>
          <w:rFonts w:ascii="Times New Roman" w:hAnsi="Times New Roman" w:hint="eastAsia"/>
          <w:snapToGrid w:val="0"/>
          <w:sz w:val="28"/>
        </w:rPr>
        <w:t>2020</w:t>
      </w:r>
      <w:r>
        <w:rPr>
          <w:rFonts w:ascii="Times New Roman" w:hAnsi="Times New Roman" w:hint="eastAsia"/>
          <w:snapToGrid w:val="0"/>
          <w:sz w:val="28"/>
        </w:rPr>
        <w:t>年，新冠疫情影响到集团在中国的业务。集团通过不断深化和加强中国区的业务，随时准备把握市场的增长机会。</w:t>
      </w:r>
    </w:p>
    <w:p w14:paraId="1F922537" w14:textId="77777777" w:rsidR="009767FC" w:rsidRPr="00247AA8" w:rsidRDefault="004D1C47" w:rsidP="00CB0396">
      <w:pPr>
        <w:numPr>
          <w:ilvl w:val="0"/>
          <w:numId w:val="5"/>
        </w:numPr>
        <w:adjustRightInd w:val="0"/>
        <w:snapToGrid w:val="0"/>
        <w:spacing w:afterLines="50" w:after="149"/>
        <w:ind w:left="426" w:hanging="426"/>
        <w:jc w:val="both"/>
        <w:rPr>
          <w:rFonts w:ascii="Times New Roman" w:eastAsia="宋体" w:hAnsi="Times New Roman" w:cs="Times New Roman"/>
          <w:snapToGrid w:val="0"/>
          <w:sz w:val="28"/>
        </w:rPr>
      </w:pPr>
      <w:r>
        <w:rPr>
          <w:rFonts w:ascii="Times New Roman" w:eastAsia="宋体" w:hAnsi="Times New Roman" w:hint="eastAsia"/>
          <w:snapToGrid w:val="0"/>
          <w:sz w:val="28"/>
        </w:rPr>
        <w:t>集团在中国区建立的首家医院——</w:t>
      </w:r>
      <w:r>
        <w:rPr>
          <w:rFonts w:ascii="Times New Roman" w:eastAsia="宋体" w:hAnsi="Times New Roman" w:hint="eastAsia"/>
          <w:b/>
          <w:i/>
          <w:snapToGrid w:val="0"/>
          <w:color w:val="57585A"/>
          <w:sz w:val="28"/>
        </w:rPr>
        <w:t>重庆</w:t>
      </w:r>
      <w:r>
        <w:rPr>
          <w:rFonts w:ascii="Times New Roman" w:eastAsia="宋体" w:hAnsi="Times New Roman" w:hint="eastAsia"/>
          <w:b/>
          <w:bCs/>
          <w:i/>
          <w:snapToGrid w:val="0"/>
          <w:color w:val="007F65"/>
          <w:sz w:val="28"/>
        </w:rPr>
        <w:t>莱佛士</w:t>
      </w:r>
      <w:r>
        <w:rPr>
          <w:rFonts w:ascii="Times New Roman" w:eastAsia="宋体" w:hAnsi="Times New Roman" w:hint="eastAsia"/>
          <w:b/>
          <w:bCs/>
          <w:i/>
          <w:snapToGrid w:val="0"/>
          <w:color w:val="57585A"/>
          <w:sz w:val="28"/>
        </w:rPr>
        <w:t>医院</w:t>
      </w:r>
      <w:r>
        <w:rPr>
          <w:rFonts w:ascii="Times New Roman" w:eastAsia="宋体" w:hAnsi="Times New Roman" w:hint="eastAsia"/>
          <w:snapToGrid w:val="0"/>
          <w:sz w:val="28"/>
        </w:rPr>
        <w:t>(Raffles Hospital Chongqing)</w:t>
      </w:r>
      <w:r>
        <w:rPr>
          <w:rFonts w:ascii="Times New Roman" w:eastAsia="宋体" w:hAnsi="Times New Roman" w:hint="eastAsia"/>
          <w:snapToGrid w:val="0"/>
          <w:sz w:val="28"/>
        </w:rPr>
        <w:t>的就诊人数较</w:t>
      </w:r>
      <w:r>
        <w:rPr>
          <w:rFonts w:ascii="Times New Roman" w:eastAsia="宋体" w:hAnsi="Times New Roman" w:hint="eastAsia"/>
          <w:snapToGrid w:val="0"/>
          <w:sz w:val="28"/>
        </w:rPr>
        <w:t>2019</w:t>
      </w:r>
      <w:r>
        <w:rPr>
          <w:rFonts w:ascii="Times New Roman" w:eastAsia="宋体" w:hAnsi="Times New Roman" w:hint="eastAsia"/>
          <w:snapToGrid w:val="0"/>
          <w:sz w:val="28"/>
        </w:rPr>
        <w:t>年有明显增长。</w:t>
      </w:r>
    </w:p>
    <w:p w14:paraId="44AA612F" w14:textId="77777777" w:rsidR="009767FC" w:rsidRPr="00247AA8" w:rsidRDefault="004D1C47" w:rsidP="00CB0396">
      <w:pPr>
        <w:pStyle w:val="a3"/>
        <w:numPr>
          <w:ilvl w:val="0"/>
          <w:numId w:val="5"/>
        </w:numPr>
        <w:adjustRightInd w:val="0"/>
        <w:snapToGrid w:val="0"/>
        <w:spacing w:afterLines="50" w:after="149"/>
        <w:ind w:left="426" w:hanging="426"/>
        <w:jc w:val="both"/>
        <w:rPr>
          <w:rFonts w:ascii="Times New Roman" w:hAnsi="Times New Roman" w:cs="Times New Roman"/>
          <w:snapToGrid w:val="0"/>
          <w:sz w:val="28"/>
        </w:rPr>
      </w:pPr>
      <w:r>
        <w:rPr>
          <w:rFonts w:ascii="Times New Roman" w:hAnsi="Times New Roman" w:hint="eastAsia"/>
          <w:snapToGrid w:val="0"/>
          <w:sz w:val="28"/>
        </w:rPr>
        <w:t>集团已成功将北京莱佛士诊所升级为</w:t>
      </w:r>
      <w:r>
        <w:rPr>
          <w:rFonts w:ascii="Times New Roman" w:hAnsi="Times New Roman" w:hint="eastAsia"/>
          <w:b/>
          <w:i/>
          <w:snapToGrid w:val="0"/>
          <w:color w:val="57585A"/>
          <w:sz w:val="28"/>
        </w:rPr>
        <w:t>北京</w:t>
      </w:r>
      <w:r>
        <w:rPr>
          <w:rFonts w:ascii="Times New Roman" w:hAnsi="Times New Roman" w:hint="eastAsia"/>
          <w:b/>
          <w:i/>
          <w:snapToGrid w:val="0"/>
          <w:color w:val="007F65"/>
          <w:sz w:val="28"/>
        </w:rPr>
        <w:t>莱佛士</w:t>
      </w:r>
      <w:r>
        <w:rPr>
          <w:rFonts w:ascii="Times New Roman" w:hAnsi="Times New Roman" w:hint="eastAsia"/>
          <w:b/>
          <w:i/>
          <w:snapToGrid w:val="0"/>
          <w:color w:val="57585A"/>
          <w:sz w:val="28"/>
        </w:rPr>
        <w:t>医院</w:t>
      </w:r>
      <w:r>
        <w:rPr>
          <w:rFonts w:ascii="Times New Roman" w:hAnsi="Times New Roman" w:hint="eastAsia"/>
          <w:snapToGrid w:val="0"/>
          <w:sz w:val="28"/>
        </w:rPr>
        <w:t>。目前，该医院有能力提供住院治疗、微创手术、</w:t>
      </w:r>
      <w:r>
        <w:rPr>
          <w:rFonts w:ascii="Times New Roman" w:hAnsi="Times New Roman" w:hint="eastAsia"/>
          <w:snapToGrid w:val="0"/>
          <w:sz w:val="28"/>
        </w:rPr>
        <w:t>24</w:t>
      </w:r>
      <w:r>
        <w:rPr>
          <w:rFonts w:ascii="Times New Roman" w:hAnsi="Times New Roman" w:hint="eastAsia"/>
          <w:snapToGrid w:val="0"/>
          <w:sz w:val="28"/>
        </w:rPr>
        <w:t>小时急诊、计算机断层扫描（</w:t>
      </w:r>
      <w:r>
        <w:rPr>
          <w:rFonts w:ascii="Times New Roman" w:hAnsi="Times New Roman" w:hint="eastAsia"/>
          <w:snapToGrid w:val="0"/>
          <w:sz w:val="28"/>
        </w:rPr>
        <w:t>CT</w:t>
      </w:r>
      <w:r>
        <w:rPr>
          <w:rFonts w:ascii="Times New Roman" w:hAnsi="Times New Roman" w:hint="eastAsia"/>
          <w:snapToGrid w:val="0"/>
          <w:sz w:val="28"/>
        </w:rPr>
        <w:t>）和磁共振成像（</w:t>
      </w:r>
      <w:r>
        <w:rPr>
          <w:rFonts w:ascii="Times New Roman" w:hAnsi="Times New Roman" w:hint="eastAsia"/>
          <w:snapToGrid w:val="0"/>
          <w:sz w:val="28"/>
        </w:rPr>
        <w:t>MRI</w:t>
      </w:r>
      <w:r>
        <w:rPr>
          <w:rFonts w:ascii="Times New Roman" w:hAnsi="Times New Roman" w:hint="eastAsia"/>
          <w:snapToGrid w:val="0"/>
          <w:sz w:val="28"/>
        </w:rPr>
        <w:t>）扫描诊断以及其他医疗服务。</w:t>
      </w:r>
    </w:p>
    <w:p w14:paraId="575F1660" w14:textId="77777777" w:rsidR="009767FC" w:rsidRPr="00247AA8" w:rsidRDefault="004D1C47" w:rsidP="00CB0396">
      <w:pPr>
        <w:pStyle w:val="a3"/>
        <w:numPr>
          <w:ilvl w:val="0"/>
          <w:numId w:val="5"/>
        </w:numPr>
        <w:adjustRightInd w:val="0"/>
        <w:snapToGrid w:val="0"/>
        <w:spacing w:afterLines="50" w:after="149"/>
        <w:ind w:left="426" w:hanging="426"/>
        <w:jc w:val="both"/>
        <w:rPr>
          <w:rFonts w:ascii="Times New Roman" w:hAnsi="Times New Roman" w:cs="Times New Roman"/>
          <w:snapToGrid w:val="0"/>
          <w:sz w:val="28"/>
        </w:rPr>
      </w:pPr>
      <w:r>
        <w:rPr>
          <w:rFonts w:ascii="Times New Roman" w:hAnsi="Times New Roman" w:hint="eastAsia"/>
          <w:b/>
          <w:i/>
          <w:snapToGrid w:val="0"/>
          <w:color w:val="57585A"/>
          <w:sz w:val="28"/>
        </w:rPr>
        <w:t>上海</w:t>
      </w:r>
      <w:r>
        <w:rPr>
          <w:rFonts w:ascii="Times New Roman" w:hAnsi="Times New Roman" w:hint="eastAsia"/>
          <w:b/>
          <w:i/>
          <w:snapToGrid w:val="0"/>
          <w:color w:val="007F65"/>
          <w:sz w:val="28"/>
        </w:rPr>
        <w:t>莱佛士</w:t>
      </w:r>
      <w:r>
        <w:rPr>
          <w:rFonts w:ascii="Times New Roman" w:hAnsi="Times New Roman" w:hint="eastAsia"/>
          <w:b/>
          <w:i/>
          <w:snapToGrid w:val="0"/>
          <w:color w:val="57585A"/>
          <w:sz w:val="28"/>
        </w:rPr>
        <w:t>医院</w:t>
      </w:r>
      <w:r>
        <w:rPr>
          <w:rFonts w:ascii="Times New Roman" w:hAnsi="Times New Roman" w:hint="eastAsia"/>
          <w:snapToGrid w:val="0"/>
          <w:sz w:val="28"/>
        </w:rPr>
        <w:t>正在为</w:t>
      </w:r>
      <w:r>
        <w:rPr>
          <w:rFonts w:ascii="Times New Roman" w:hAnsi="Times New Roman" w:hint="eastAsia"/>
          <w:snapToGrid w:val="0"/>
          <w:sz w:val="28"/>
        </w:rPr>
        <w:t>2021</w:t>
      </w:r>
      <w:r>
        <w:rPr>
          <w:rFonts w:ascii="Times New Roman" w:hAnsi="Times New Roman" w:hint="eastAsia"/>
          <w:snapToGrid w:val="0"/>
          <w:sz w:val="28"/>
        </w:rPr>
        <w:t>年第二季度接收患者做好准备，其装修工程、主要医疗设备的安装和调试即将完成。</w:t>
      </w:r>
    </w:p>
    <w:p w14:paraId="75EA3398" w14:textId="77777777" w:rsidR="009767FC" w:rsidRPr="00247AA8" w:rsidRDefault="004D1C47" w:rsidP="00CB0396">
      <w:pPr>
        <w:pStyle w:val="a3"/>
        <w:numPr>
          <w:ilvl w:val="0"/>
          <w:numId w:val="5"/>
        </w:numPr>
        <w:adjustRightInd w:val="0"/>
        <w:snapToGrid w:val="0"/>
        <w:spacing w:afterLines="50" w:after="149"/>
        <w:ind w:left="426" w:hanging="426"/>
        <w:jc w:val="both"/>
        <w:rPr>
          <w:rFonts w:ascii="Times New Roman" w:hAnsi="Times New Roman" w:cs="Times New Roman"/>
          <w:snapToGrid w:val="0"/>
          <w:sz w:val="28"/>
        </w:rPr>
      </w:pPr>
      <w:r>
        <w:rPr>
          <w:rFonts w:ascii="Times New Roman" w:hAnsi="Times New Roman" w:hint="eastAsia"/>
          <w:snapToGrid w:val="0"/>
          <w:sz w:val="28"/>
        </w:rPr>
        <w:t>发展中国区业务时，集团强调为患者提供莱佛士品牌的质量承诺，坚定</w:t>
      </w:r>
      <w:proofErr w:type="gramStart"/>
      <w:r>
        <w:rPr>
          <w:rFonts w:ascii="Times New Roman" w:hAnsi="Times New Roman" w:hint="eastAsia"/>
          <w:snapToGrid w:val="0"/>
          <w:sz w:val="28"/>
        </w:rPr>
        <w:t>践行</w:t>
      </w:r>
      <w:proofErr w:type="gramEnd"/>
      <w:r>
        <w:rPr>
          <w:rFonts w:ascii="Times New Roman" w:hAnsi="Times New Roman" w:hint="eastAsia"/>
          <w:snapToGrid w:val="0"/>
          <w:sz w:val="28"/>
        </w:rPr>
        <w:t>集团的医疗模式。</w:t>
      </w:r>
    </w:p>
    <w:p w14:paraId="34CA3C70" w14:textId="77777777" w:rsidR="009767FC" w:rsidRPr="00247AA8" w:rsidRDefault="004D1C47" w:rsidP="009767FC">
      <w:pPr>
        <w:pStyle w:val="3"/>
        <w:tabs>
          <w:tab w:val="left" w:pos="442"/>
        </w:tabs>
        <w:adjustRightInd w:val="0"/>
        <w:snapToGrid w:val="0"/>
        <w:spacing w:before="0" w:afterLines="50" w:after="149"/>
        <w:ind w:left="0"/>
        <w:jc w:val="both"/>
        <w:rPr>
          <w:rFonts w:ascii="Times New Roman" w:hAnsi="Times New Roman" w:cs="Times New Roman"/>
          <w:b w:val="0"/>
          <w:bCs w:val="0"/>
          <w:i w:val="0"/>
          <w:snapToGrid w:val="0"/>
          <w:sz w:val="28"/>
        </w:rPr>
      </w:pPr>
      <w:r>
        <w:rPr>
          <w:rFonts w:ascii="Times New Roman" w:hAnsi="Times New Roman" w:hint="eastAsia"/>
          <w:snapToGrid w:val="0"/>
          <w:sz w:val="28"/>
        </w:rPr>
        <w:t>拓展数字医疗服务</w:t>
      </w:r>
    </w:p>
    <w:p w14:paraId="4D7D7605" w14:textId="02814B95" w:rsidR="009767FC" w:rsidRPr="00247AA8" w:rsidRDefault="004D1C47" w:rsidP="00022E7A">
      <w:pPr>
        <w:pStyle w:val="a3"/>
        <w:numPr>
          <w:ilvl w:val="0"/>
          <w:numId w:val="7"/>
        </w:numPr>
        <w:adjustRightInd w:val="0"/>
        <w:snapToGrid w:val="0"/>
        <w:spacing w:afterLines="50" w:after="149"/>
        <w:ind w:hanging="479"/>
        <w:jc w:val="both"/>
        <w:rPr>
          <w:rFonts w:ascii="Times New Roman" w:hAnsi="Times New Roman" w:cs="Times New Roman"/>
          <w:snapToGrid w:val="0"/>
          <w:sz w:val="28"/>
        </w:rPr>
      </w:pPr>
      <w:r>
        <w:rPr>
          <w:rFonts w:ascii="Times New Roman" w:hAnsi="Times New Roman" w:hint="eastAsia"/>
          <w:snapToGrid w:val="0"/>
          <w:sz w:val="28"/>
        </w:rPr>
        <w:t>新冠疫情继续冲击和影响着传统的业务模式。集团将继续投资并发展其</w:t>
      </w:r>
      <w:r w:rsidR="009318B0" w:rsidRPr="009318B0">
        <w:rPr>
          <w:rFonts w:ascii="Times New Roman" w:hAnsi="Times New Roman" w:hint="eastAsia"/>
          <w:snapToGrid w:val="0"/>
          <w:sz w:val="28"/>
        </w:rPr>
        <w:t>莱佛士</w:t>
      </w:r>
      <w:r w:rsidR="009318B0">
        <w:rPr>
          <w:rFonts w:ascii="Times New Roman" w:hAnsi="Times New Roman" w:hint="eastAsia"/>
          <w:snapToGrid w:val="0"/>
          <w:sz w:val="28"/>
        </w:rPr>
        <w:t>在线</w:t>
      </w:r>
      <w:r w:rsidR="009318B0" w:rsidRPr="009318B0">
        <w:rPr>
          <w:rFonts w:ascii="Times New Roman" w:hAnsi="Times New Roman" w:hint="eastAsia"/>
          <w:snapToGrid w:val="0"/>
          <w:sz w:val="28"/>
        </w:rPr>
        <w:t>数字平台</w:t>
      </w:r>
      <w:r w:rsidR="009318B0">
        <w:rPr>
          <w:rFonts w:ascii="Times New Roman" w:hAnsi="Times New Roman" w:hint="eastAsia"/>
          <w:snapToGrid w:val="0"/>
          <w:sz w:val="28"/>
        </w:rPr>
        <w:t>（</w:t>
      </w:r>
      <w:r>
        <w:rPr>
          <w:rFonts w:ascii="Times New Roman" w:hAnsi="Times New Roman" w:hint="eastAsia"/>
          <w:b/>
          <w:bCs/>
          <w:i/>
          <w:snapToGrid w:val="0"/>
          <w:color w:val="007F65"/>
          <w:sz w:val="28"/>
        </w:rPr>
        <w:t>Raffles</w:t>
      </w:r>
      <w:r w:rsidR="009318B0">
        <w:rPr>
          <w:rFonts w:ascii="Times New Roman" w:hAnsi="Times New Roman"/>
          <w:b/>
          <w:bCs/>
          <w:i/>
          <w:snapToGrid w:val="0"/>
          <w:color w:val="007F65"/>
          <w:sz w:val="28"/>
        </w:rPr>
        <w:t xml:space="preserve"> </w:t>
      </w:r>
      <w:r>
        <w:rPr>
          <w:rFonts w:ascii="Times New Roman" w:hAnsi="Times New Roman" w:hint="eastAsia"/>
          <w:b/>
          <w:bCs/>
          <w:i/>
          <w:snapToGrid w:val="0"/>
          <w:color w:val="57585A"/>
          <w:sz w:val="28"/>
        </w:rPr>
        <w:t>Connect</w:t>
      </w:r>
      <w:r w:rsidR="009318B0">
        <w:rPr>
          <w:rFonts w:ascii="Times New Roman" w:hAnsi="Times New Roman" w:hint="eastAsia"/>
          <w:b/>
          <w:bCs/>
          <w:i/>
          <w:snapToGrid w:val="0"/>
          <w:color w:val="57585A"/>
          <w:sz w:val="28"/>
        </w:rPr>
        <w:t>平台</w:t>
      </w:r>
      <w:r w:rsidR="009318B0" w:rsidRPr="009318B0">
        <w:rPr>
          <w:rFonts w:ascii="Times New Roman" w:hAnsi="Times New Roman" w:hint="eastAsia"/>
          <w:b/>
          <w:bCs/>
          <w:i/>
          <w:snapToGrid w:val="0"/>
          <w:color w:val="57585A"/>
          <w:sz w:val="28"/>
        </w:rPr>
        <w:t>）</w:t>
      </w:r>
      <w:r>
        <w:rPr>
          <w:rFonts w:ascii="Times New Roman" w:hAnsi="Times New Roman" w:hint="eastAsia"/>
          <w:snapToGrid w:val="0"/>
          <w:sz w:val="28"/>
        </w:rPr>
        <w:t>，扩大服务覆盖面并改善患者体验，从而继续通过电话咨询和药物递送等方式，让外国患者有机会接受我们医生和专家的治疗。</w:t>
      </w:r>
    </w:p>
    <w:p w14:paraId="612575C8" w14:textId="7BF2E0CB" w:rsidR="009767FC" w:rsidRPr="00247AA8" w:rsidRDefault="004D1C47" w:rsidP="00022E7A">
      <w:pPr>
        <w:pStyle w:val="a3"/>
        <w:numPr>
          <w:ilvl w:val="0"/>
          <w:numId w:val="7"/>
        </w:numPr>
        <w:adjustRightInd w:val="0"/>
        <w:snapToGrid w:val="0"/>
        <w:spacing w:afterLines="50" w:after="149"/>
        <w:ind w:hanging="479"/>
        <w:jc w:val="both"/>
        <w:rPr>
          <w:rFonts w:ascii="Times New Roman" w:hAnsi="Times New Roman" w:cs="Times New Roman"/>
          <w:snapToGrid w:val="0"/>
          <w:sz w:val="28"/>
        </w:rPr>
      </w:pPr>
      <w:r>
        <w:rPr>
          <w:rFonts w:ascii="Times New Roman" w:hAnsi="Times New Roman" w:hint="eastAsia"/>
          <w:b/>
          <w:bCs/>
          <w:i/>
          <w:snapToGrid w:val="0"/>
          <w:color w:val="007F65"/>
          <w:sz w:val="28"/>
        </w:rPr>
        <w:t>Raffles</w:t>
      </w:r>
      <w:r w:rsidR="009318B0">
        <w:rPr>
          <w:rFonts w:ascii="Times New Roman" w:hAnsi="Times New Roman"/>
          <w:b/>
          <w:bCs/>
          <w:i/>
          <w:snapToGrid w:val="0"/>
          <w:color w:val="007F65"/>
          <w:sz w:val="28"/>
        </w:rPr>
        <w:t xml:space="preserve"> </w:t>
      </w:r>
      <w:r>
        <w:rPr>
          <w:rFonts w:ascii="Times New Roman" w:hAnsi="Times New Roman" w:hint="eastAsia"/>
          <w:b/>
          <w:bCs/>
          <w:i/>
          <w:snapToGrid w:val="0"/>
          <w:color w:val="57585A"/>
          <w:sz w:val="28"/>
        </w:rPr>
        <w:t>Connect</w:t>
      </w:r>
      <w:r w:rsidR="009318B0" w:rsidRPr="009318B0">
        <w:rPr>
          <w:rFonts w:ascii="Times New Roman" w:hAnsi="Times New Roman" w:hint="eastAsia"/>
          <w:b/>
          <w:bCs/>
          <w:i/>
          <w:snapToGrid w:val="0"/>
          <w:color w:val="57585A"/>
          <w:sz w:val="28"/>
        </w:rPr>
        <w:t>平台</w:t>
      </w:r>
      <w:r>
        <w:rPr>
          <w:rFonts w:ascii="Times New Roman" w:hAnsi="Times New Roman" w:hint="eastAsia"/>
          <w:snapToGrid w:val="0"/>
          <w:sz w:val="28"/>
        </w:rPr>
        <w:t>一直是我们</w:t>
      </w:r>
      <w:r w:rsidR="009318B0">
        <w:rPr>
          <w:rFonts w:ascii="Times New Roman" w:hAnsi="Times New Roman" w:hint="eastAsia"/>
          <w:snapToGrid w:val="0"/>
          <w:sz w:val="28"/>
        </w:rPr>
        <w:t>为</w:t>
      </w:r>
      <w:r>
        <w:rPr>
          <w:rFonts w:ascii="Times New Roman" w:hAnsi="Times New Roman" w:hint="eastAsia"/>
          <w:snapToGrid w:val="0"/>
          <w:sz w:val="28"/>
        </w:rPr>
        <w:t>患者</w:t>
      </w:r>
      <w:r w:rsidR="009318B0">
        <w:rPr>
          <w:rFonts w:ascii="Times New Roman" w:hAnsi="Times New Roman" w:hint="eastAsia"/>
          <w:snapToGrid w:val="0"/>
          <w:sz w:val="28"/>
        </w:rPr>
        <w:t>持续提供</w:t>
      </w:r>
      <w:r>
        <w:rPr>
          <w:rFonts w:ascii="Times New Roman" w:hAnsi="Times New Roman" w:hint="eastAsia"/>
          <w:snapToGrid w:val="0"/>
          <w:sz w:val="28"/>
        </w:rPr>
        <w:t>不间断医疗服务的重要</w:t>
      </w:r>
      <w:r w:rsidR="009318B0">
        <w:rPr>
          <w:rFonts w:ascii="Times New Roman" w:hAnsi="Times New Roman" w:hint="eastAsia"/>
          <w:snapToGrid w:val="0"/>
          <w:sz w:val="28"/>
        </w:rPr>
        <w:t>保障</w:t>
      </w:r>
      <w:r>
        <w:rPr>
          <w:rFonts w:ascii="Times New Roman" w:hAnsi="Times New Roman" w:hint="eastAsia"/>
          <w:snapToGrid w:val="0"/>
          <w:sz w:val="28"/>
        </w:rPr>
        <w:t>。通过该数字平台，患者可以享受到优质和无缝的护理服务，如</w:t>
      </w:r>
      <w:r>
        <w:rPr>
          <w:rFonts w:ascii="Times New Roman" w:hAnsi="Times New Roman" w:hint="eastAsia"/>
          <w:snapToGrid w:val="0"/>
          <w:sz w:val="28"/>
        </w:rPr>
        <w:t>24/7</w:t>
      </w:r>
      <w:r>
        <w:rPr>
          <w:rFonts w:ascii="Times New Roman" w:hAnsi="Times New Roman" w:hint="eastAsia"/>
          <w:snapToGrid w:val="0"/>
          <w:sz w:val="28"/>
        </w:rPr>
        <w:t>电话问诊、提前预约门诊和检测，以及药物递送等服务。</w:t>
      </w:r>
    </w:p>
    <w:p w14:paraId="75245CEF"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集团目前仍然乐观地相信，其整个网络的运营将在</w:t>
      </w:r>
      <w:r>
        <w:rPr>
          <w:rFonts w:ascii="Times New Roman" w:hAnsi="Times New Roman" w:hint="eastAsia"/>
          <w:snapToGrid w:val="0"/>
          <w:sz w:val="28"/>
        </w:rPr>
        <w:t>2021</w:t>
      </w:r>
      <w:r>
        <w:rPr>
          <w:rFonts w:ascii="Times New Roman" w:hAnsi="Times New Roman" w:hint="eastAsia"/>
          <w:snapToGrid w:val="0"/>
          <w:sz w:val="28"/>
        </w:rPr>
        <w:t>年开始恢复正常。然而，集团开展业务的某些城市仍有可能存在新冠疫情零星局部爆发并实施防疫封锁的风险。</w:t>
      </w:r>
    </w:p>
    <w:p w14:paraId="0F0E3084" w14:textId="0BEBD1C5"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b/>
          <w:bCs/>
          <w:i/>
          <w:snapToGrid w:val="0"/>
          <w:color w:val="007F65"/>
          <w:sz w:val="28"/>
        </w:rPr>
        <w:t>莱佛</w:t>
      </w:r>
      <w:proofErr w:type="gramStart"/>
      <w:r>
        <w:rPr>
          <w:rFonts w:ascii="Times New Roman" w:hAnsi="Times New Roman" w:hint="eastAsia"/>
          <w:b/>
          <w:bCs/>
          <w:i/>
          <w:snapToGrid w:val="0"/>
          <w:color w:val="007F65"/>
          <w:sz w:val="28"/>
        </w:rPr>
        <w:t>士</w:t>
      </w:r>
      <w:r>
        <w:rPr>
          <w:rFonts w:ascii="Times New Roman" w:hAnsi="Times New Roman" w:hint="eastAsia"/>
          <w:b/>
          <w:bCs/>
          <w:i/>
          <w:snapToGrid w:val="0"/>
          <w:color w:val="57585A"/>
          <w:sz w:val="28"/>
        </w:rPr>
        <w:t>医疗</w:t>
      </w:r>
      <w:proofErr w:type="gramEnd"/>
      <w:r>
        <w:rPr>
          <w:rFonts w:ascii="Times New Roman" w:hAnsi="Times New Roman" w:hint="eastAsia"/>
          <w:b/>
          <w:bCs/>
          <w:i/>
          <w:snapToGrid w:val="0"/>
          <w:color w:val="57585A"/>
          <w:sz w:val="28"/>
        </w:rPr>
        <w:t>集团</w:t>
      </w:r>
      <w:r>
        <w:rPr>
          <w:rFonts w:ascii="Times New Roman" w:hAnsi="Times New Roman" w:hint="eastAsia"/>
          <w:snapToGrid w:val="0"/>
          <w:sz w:val="28"/>
        </w:rPr>
        <w:t>执行主席</w:t>
      </w:r>
      <w:r w:rsidR="00D53E65" w:rsidRPr="00D53E65">
        <w:rPr>
          <w:rFonts w:ascii="Times New Roman" w:hAnsi="Times New Roman" w:hint="eastAsia"/>
          <w:snapToGrid w:val="0"/>
          <w:sz w:val="28"/>
        </w:rPr>
        <w:t>吕俊</w:t>
      </w:r>
      <w:proofErr w:type="gramStart"/>
      <w:r w:rsidR="00D53E65" w:rsidRPr="00D53E65">
        <w:rPr>
          <w:rFonts w:ascii="Times New Roman" w:hAnsi="Times New Roman" w:hint="eastAsia"/>
          <w:snapToGrid w:val="0"/>
          <w:sz w:val="28"/>
        </w:rPr>
        <w:t>暘</w:t>
      </w:r>
      <w:proofErr w:type="gramEnd"/>
      <w:r w:rsidR="00D53E65" w:rsidRPr="00D53E65">
        <w:rPr>
          <w:rFonts w:ascii="Times New Roman" w:hAnsi="Times New Roman" w:hint="eastAsia"/>
          <w:snapToGrid w:val="0"/>
          <w:sz w:val="28"/>
        </w:rPr>
        <w:t>医生</w:t>
      </w:r>
      <w:r>
        <w:rPr>
          <w:rFonts w:ascii="Times New Roman" w:hAnsi="Times New Roman" w:hint="eastAsia"/>
          <w:snapToGrid w:val="0"/>
          <w:sz w:val="28"/>
        </w:rPr>
        <w:t>表示：“新冠疫情对全球来说都是一个前所未有的挑战，不仅扰乱了商业和民生，而且对医疗环境造成更为严重的影响。我们的一线员工和管理层都在不断应对新冠疫情带来的诸多干扰。每一天，我们都</w:t>
      </w:r>
      <w:r w:rsidR="001313C3">
        <w:rPr>
          <w:rFonts w:ascii="Times New Roman" w:hAnsi="Times New Roman" w:hint="eastAsia"/>
          <w:snapToGrid w:val="0"/>
          <w:sz w:val="28"/>
        </w:rPr>
        <w:t>在超越自我，努力兑现我们对患者和企业客户的承诺，力争成为他们</w:t>
      </w:r>
      <w:r>
        <w:rPr>
          <w:rFonts w:ascii="Times New Roman" w:hAnsi="Times New Roman" w:hint="eastAsia"/>
          <w:snapToGrid w:val="0"/>
          <w:sz w:val="28"/>
        </w:rPr>
        <w:t>信赖的健康伙伴。员工的坚韧、敬业和快速应对，加上集团的战略性投资和严谨规划，让我们在这场全球危机中变得更加强大。良好的业绩是对集团股东和员工所做贡献的一种回馈。展望未来，我们将继续加大业务投资，提高集团运营效率，并增强核心能力，使</w:t>
      </w:r>
      <w:r>
        <w:rPr>
          <w:rFonts w:ascii="Times New Roman" w:hAnsi="Times New Roman" w:hint="eastAsia"/>
          <w:b/>
          <w:bCs/>
          <w:i/>
          <w:snapToGrid w:val="0"/>
          <w:color w:val="007F65"/>
          <w:sz w:val="28"/>
        </w:rPr>
        <w:t>莱佛士</w:t>
      </w:r>
      <w:r>
        <w:rPr>
          <w:rFonts w:ascii="Times New Roman" w:hAnsi="Times New Roman" w:hint="eastAsia"/>
          <w:b/>
          <w:bCs/>
          <w:i/>
          <w:snapToGrid w:val="0"/>
          <w:color w:val="57585A"/>
          <w:sz w:val="28"/>
        </w:rPr>
        <w:t>医疗集团</w:t>
      </w:r>
      <w:r>
        <w:rPr>
          <w:rFonts w:ascii="Times New Roman" w:hAnsi="Times New Roman" w:hint="eastAsia"/>
          <w:snapToGrid w:val="0"/>
          <w:sz w:val="28"/>
        </w:rPr>
        <w:t>成为未来全球医疗领域的领跑者。我们始终坚守我们的使命，通过高质量</w:t>
      </w:r>
      <w:r>
        <w:rPr>
          <w:rFonts w:ascii="Times New Roman" w:hAnsi="Times New Roman" w:hint="eastAsia"/>
          <w:snapToGrid w:val="0"/>
          <w:sz w:val="28"/>
        </w:rPr>
        <w:lastRenderedPageBreak/>
        <w:t>的医疗服务为所有患者和客户提供价值，增进他们的健康和福祉。”</w:t>
      </w:r>
    </w:p>
    <w:p w14:paraId="2E67FCD0" w14:textId="2AF3F195"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他补充道：“</w:t>
      </w:r>
      <w:r>
        <w:rPr>
          <w:rFonts w:ascii="Times New Roman" w:hAnsi="Times New Roman" w:hint="eastAsia"/>
          <w:snapToGrid w:val="0"/>
          <w:sz w:val="28"/>
        </w:rPr>
        <w:t>2021</w:t>
      </w:r>
      <w:r>
        <w:rPr>
          <w:rFonts w:ascii="Times New Roman" w:hAnsi="Times New Roman" w:hint="eastAsia"/>
          <w:snapToGrid w:val="0"/>
          <w:sz w:val="28"/>
        </w:rPr>
        <w:t>年是集团成立的第</w:t>
      </w:r>
      <w:r>
        <w:rPr>
          <w:rFonts w:ascii="Times New Roman" w:hAnsi="Times New Roman" w:hint="eastAsia"/>
          <w:snapToGrid w:val="0"/>
          <w:sz w:val="28"/>
        </w:rPr>
        <w:t>45</w:t>
      </w:r>
      <w:r>
        <w:rPr>
          <w:rFonts w:ascii="Times New Roman" w:hAnsi="Times New Roman" w:hint="eastAsia"/>
          <w:snapToGrid w:val="0"/>
          <w:sz w:val="28"/>
        </w:rPr>
        <w:t>个年头。我们再次承诺，我们将继续服务于我们业务所在地的社区。从</w:t>
      </w:r>
      <w:r>
        <w:rPr>
          <w:rFonts w:ascii="Times New Roman" w:hAnsi="Times New Roman" w:hint="eastAsia"/>
          <w:snapToGrid w:val="0"/>
          <w:sz w:val="28"/>
        </w:rPr>
        <w:t>2021</w:t>
      </w:r>
      <w:r>
        <w:rPr>
          <w:rFonts w:ascii="Times New Roman" w:hAnsi="Times New Roman" w:hint="eastAsia"/>
          <w:snapToGrid w:val="0"/>
          <w:sz w:val="28"/>
        </w:rPr>
        <w:t>财年开始，集团将在未来五年内拨出</w:t>
      </w:r>
      <w:r>
        <w:rPr>
          <w:rFonts w:ascii="Times New Roman" w:hAnsi="Times New Roman" w:hint="eastAsia"/>
          <w:snapToGrid w:val="0"/>
          <w:sz w:val="28"/>
        </w:rPr>
        <w:t>1%</w:t>
      </w:r>
      <w:r>
        <w:rPr>
          <w:rFonts w:ascii="Times New Roman" w:hAnsi="Times New Roman" w:hint="eastAsia"/>
          <w:snapToGrid w:val="0"/>
          <w:sz w:val="28"/>
        </w:rPr>
        <w:t>的</w:t>
      </w:r>
      <w:r w:rsidR="009318B0" w:rsidRPr="009318B0">
        <w:rPr>
          <w:rFonts w:ascii="Times New Roman" w:hAnsi="Times New Roman" w:hint="eastAsia"/>
          <w:snapToGrid w:val="0"/>
          <w:sz w:val="28"/>
        </w:rPr>
        <w:t>除税及少数股东权益后利润</w:t>
      </w:r>
      <w:r w:rsidR="009318B0">
        <w:rPr>
          <w:rFonts w:ascii="Times New Roman" w:hAnsi="Times New Roman" w:hint="eastAsia"/>
          <w:snapToGrid w:val="0"/>
          <w:sz w:val="28"/>
        </w:rPr>
        <w:t>（</w:t>
      </w:r>
      <w:r>
        <w:rPr>
          <w:rFonts w:ascii="Times New Roman" w:hAnsi="Times New Roman" w:hint="eastAsia"/>
          <w:snapToGrid w:val="0"/>
          <w:sz w:val="28"/>
        </w:rPr>
        <w:t>PATMI</w:t>
      </w:r>
      <w:r w:rsidR="009318B0" w:rsidRPr="009318B0">
        <w:rPr>
          <w:rFonts w:ascii="Times New Roman" w:hAnsi="Times New Roman" w:hint="eastAsia"/>
          <w:snapToGrid w:val="0"/>
          <w:sz w:val="28"/>
        </w:rPr>
        <w:t>）</w:t>
      </w:r>
      <w:r>
        <w:rPr>
          <w:rFonts w:ascii="Times New Roman" w:hAnsi="Times New Roman" w:hint="eastAsia"/>
          <w:snapToGrid w:val="0"/>
          <w:sz w:val="28"/>
        </w:rPr>
        <w:t>用于慈善项目，这是我们环境、社会和公司治理（</w:t>
      </w:r>
      <w:r>
        <w:rPr>
          <w:rFonts w:ascii="Times New Roman" w:hAnsi="Times New Roman" w:hint="eastAsia"/>
          <w:b/>
          <w:bCs/>
          <w:snapToGrid w:val="0"/>
          <w:sz w:val="28"/>
        </w:rPr>
        <w:t>ESG</w:t>
      </w:r>
      <w:r>
        <w:rPr>
          <w:rFonts w:ascii="Times New Roman" w:hAnsi="Times New Roman" w:hint="eastAsia"/>
          <w:snapToGrid w:val="0"/>
          <w:sz w:val="28"/>
        </w:rPr>
        <w:t>）战略的重要内容。这一承诺不仅限于慈善捐赠。我们整个集团将努力吸引和激励我们的员工和利益相关者一起关爱我们的社区。作为一家医疗保健公司和新加坡本土品牌，集团拥有独特的经验、技术和设施</w:t>
      </w:r>
      <w:r w:rsidR="009318B0">
        <w:rPr>
          <w:rFonts w:ascii="Times New Roman" w:hAnsi="Times New Roman" w:hint="eastAsia"/>
          <w:snapToGrid w:val="0"/>
          <w:sz w:val="28"/>
        </w:rPr>
        <w:t>。</w:t>
      </w:r>
      <w:r>
        <w:rPr>
          <w:rFonts w:ascii="Times New Roman" w:hAnsi="Times New Roman" w:hint="eastAsia"/>
          <w:snapToGrid w:val="0"/>
          <w:sz w:val="28"/>
        </w:rPr>
        <w:t>因此，我们有能力在社区中发挥重大作用，从而影响许多人的生活。</w:t>
      </w:r>
      <w:r w:rsidR="009318B0">
        <w:rPr>
          <w:rFonts w:ascii="Times New Roman" w:hAnsi="Times New Roman" w:hint="eastAsia"/>
          <w:snapToGrid w:val="0"/>
          <w:sz w:val="28"/>
        </w:rPr>
        <w:t>”</w:t>
      </w:r>
    </w:p>
    <w:p w14:paraId="665A8EA1" w14:textId="77777777" w:rsidR="00022E7A" w:rsidRDefault="004D1C47" w:rsidP="009767FC">
      <w:pPr>
        <w:pStyle w:val="a3"/>
        <w:tabs>
          <w:tab w:val="left" w:pos="442"/>
        </w:tabs>
        <w:adjustRightInd w:val="0"/>
        <w:snapToGrid w:val="0"/>
        <w:spacing w:afterLines="50" w:after="149"/>
        <w:ind w:left="0"/>
        <w:jc w:val="center"/>
        <w:rPr>
          <w:rFonts w:ascii="Times New Roman" w:hAnsi="Times New Roman" w:cs="Times New Roman"/>
          <w:snapToGrid w:val="0"/>
          <w:sz w:val="28"/>
        </w:rPr>
      </w:pPr>
      <w:r>
        <w:rPr>
          <w:rFonts w:ascii="Times New Roman" w:hAnsi="Times New Roman" w:hint="eastAsia"/>
          <w:snapToGrid w:val="0"/>
          <w:sz w:val="28"/>
        </w:rPr>
        <w:t>###</w:t>
      </w:r>
    </w:p>
    <w:p w14:paraId="3B1E92E0" w14:textId="77777777" w:rsidR="009767FC" w:rsidRPr="00022E7A" w:rsidRDefault="00022E7A" w:rsidP="00022E7A">
      <w:pPr>
        <w:rPr>
          <w:rFonts w:ascii="Times New Roman" w:eastAsia="宋体" w:hAnsi="Times New Roman" w:cs="Times New Roman"/>
          <w:snapToGrid w:val="0"/>
          <w:sz w:val="28"/>
        </w:rPr>
      </w:pPr>
      <w:r>
        <w:rPr>
          <w:rFonts w:hint="eastAsia"/>
        </w:rPr>
        <w:br w:type="page"/>
      </w:r>
    </w:p>
    <w:p w14:paraId="1EF573CB"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lastRenderedPageBreak/>
        <w:t>媒体垂询，敬请联系：</w:t>
      </w:r>
    </w:p>
    <w:p w14:paraId="4967F31C"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rPr>
        <w:t>Yong Shi Yun</w:t>
      </w:r>
    </w:p>
    <w:p w14:paraId="33E65423" w14:textId="77777777" w:rsidR="00022E7A"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品牌传播高级经理</w:t>
      </w:r>
    </w:p>
    <w:p w14:paraId="263689D3"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莱佛</w:t>
      </w:r>
      <w:proofErr w:type="gramStart"/>
      <w:r>
        <w:rPr>
          <w:rFonts w:ascii="Times New Roman" w:hAnsi="Times New Roman" w:hint="eastAsia"/>
          <w:snapToGrid w:val="0"/>
          <w:sz w:val="28"/>
        </w:rPr>
        <w:t>士医疗</w:t>
      </w:r>
      <w:proofErr w:type="gramEnd"/>
      <w:r>
        <w:rPr>
          <w:rFonts w:ascii="Times New Roman" w:hAnsi="Times New Roman" w:hint="eastAsia"/>
          <w:snapToGrid w:val="0"/>
          <w:sz w:val="28"/>
        </w:rPr>
        <w:t>集团</w:t>
      </w:r>
    </w:p>
    <w:p w14:paraId="15522598"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电话：</w:t>
      </w:r>
      <w:r>
        <w:rPr>
          <w:rFonts w:ascii="Times New Roman" w:hAnsi="Times New Roman" w:hint="eastAsia"/>
          <w:snapToGrid w:val="0"/>
          <w:sz w:val="28"/>
        </w:rPr>
        <w:t>+65 9644 4939</w:t>
      </w:r>
    </w:p>
    <w:p w14:paraId="0B78E5B4"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电子邮箱：</w:t>
      </w:r>
      <w:r>
        <w:rPr>
          <w:rFonts w:ascii="Times New Roman" w:hAnsi="Times New Roman" w:hint="eastAsia"/>
          <w:snapToGrid w:val="0"/>
          <w:sz w:val="28"/>
          <w:u w:val="single" w:color="000000"/>
        </w:rPr>
        <w:t>yong_shiyun@rafflesmedical.com</w:t>
      </w:r>
    </w:p>
    <w:p w14:paraId="3810E7AF"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rPr>
        <w:t>Amanda Chong</w:t>
      </w:r>
    </w:p>
    <w:p w14:paraId="7B94EE60" w14:textId="77777777" w:rsidR="00022E7A"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品牌传播副经理</w:t>
      </w:r>
    </w:p>
    <w:p w14:paraId="1B89D5DC"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莱佛</w:t>
      </w:r>
      <w:proofErr w:type="gramStart"/>
      <w:r>
        <w:rPr>
          <w:rFonts w:ascii="Times New Roman" w:hAnsi="Times New Roman" w:hint="eastAsia"/>
          <w:snapToGrid w:val="0"/>
          <w:sz w:val="28"/>
        </w:rPr>
        <w:t>士医疗</w:t>
      </w:r>
      <w:proofErr w:type="gramEnd"/>
      <w:r>
        <w:rPr>
          <w:rFonts w:ascii="Times New Roman" w:hAnsi="Times New Roman" w:hint="eastAsia"/>
          <w:snapToGrid w:val="0"/>
          <w:sz w:val="28"/>
        </w:rPr>
        <w:t>集团</w:t>
      </w:r>
    </w:p>
    <w:p w14:paraId="11DE0B80" w14:textId="77777777" w:rsidR="009767FC" w:rsidRPr="00247AA8"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r>
        <w:rPr>
          <w:rFonts w:ascii="Times New Roman" w:hAnsi="Times New Roman" w:hint="eastAsia"/>
          <w:snapToGrid w:val="0"/>
          <w:sz w:val="28"/>
        </w:rPr>
        <w:t>电话：</w:t>
      </w:r>
      <w:r>
        <w:rPr>
          <w:rFonts w:ascii="Times New Roman" w:hAnsi="Times New Roman" w:hint="eastAsia"/>
          <w:snapToGrid w:val="0"/>
          <w:sz w:val="28"/>
        </w:rPr>
        <w:t>+65 8200 5363</w:t>
      </w:r>
    </w:p>
    <w:p w14:paraId="0E6BF848" w14:textId="77777777" w:rsidR="009767FC" w:rsidRDefault="004D1C47" w:rsidP="009767FC">
      <w:pPr>
        <w:pStyle w:val="a3"/>
        <w:tabs>
          <w:tab w:val="left" w:pos="442"/>
        </w:tabs>
        <w:adjustRightInd w:val="0"/>
        <w:snapToGrid w:val="0"/>
        <w:spacing w:afterLines="50" w:after="149"/>
        <w:ind w:left="0"/>
        <w:jc w:val="both"/>
        <w:rPr>
          <w:rFonts w:ascii="Times New Roman" w:hAnsi="Times New Roman" w:cs="Times New Roman"/>
          <w:snapToGrid w:val="0"/>
          <w:color w:val="0000FF"/>
          <w:sz w:val="28"/>
          <w:u w:val="single" w:color="0000FF"/>
        </w:rPr>
      </w:pPr>
      <w:r>
        <w:rPr>
          <w:rFonts w:ascii="Times New Roman" w:hAnsi="Times New Roman" w:hint="eastAsia"/>
          <w:snapToGrid w:val="0"/>
          <w:sz w:val="28"/>
        </w:rPr>
        <w:t>电子邮箱：</w:t>
      </w:r>
      <w:r w:rsidR="00F560C3">
        <w:fldChar w:fldCharType="begin"/>
      </w:r>
      <w:r w:rsidR="00F560C3">
        <w:instrText xml:space="preserve"> HYPERLINK "mailto:chong_amanda@rafflesmedical.com" </w:instrText>
      </w:r>
      <w:r w:rsidR="00F560C3">
        <w:fldChar w:fldCharType="separate"/>
      </w:r>
      <w:r>
        <w:rPr>
          <w:rStyle w:val="ac"/>
          <w:rFonts w:ascii="Times New Roman" w:hAnsi="Times New Roman" w:hint="eastAsia"/>
          <w:snapToGrid w:val="0"/>
          <w:sz w:val="28"/>
          <w:u w:color="0000FF"/>
        </w:rPr>
        <w:t>chong_amanda@rafflesmedical.com</w:t>
      </w:r>
      <w:r w:rsidR="00F560C3">
        <w:rPr>
          <w:rStyle w:val="ac"/>
          <w:rFonts w:ascii="Times New Roman" w:hAnsi="Times New Roman"/>
          <w:snapToGrid w:val="0"/>
          <w:sz w:val="28"/>
          <w:u w:color="0000FF"/>
        </w:rPr>
        <w:fldChar w:fldCharType="end"/>
      </w:r>
    </w:p>
    <w:p w14:paraId="5F20A045" w14:textId="77777777" w:rsidR="00022E7A" w:rsidRPr="00247AA8" w:rsidRDefault="00022E7A" w:rsidP="009767FC">
      <w:pPr>
        <w:pStyle w:val="a3"/>
        <w:tabs>
          <w:tab w:val="left" w:pos="442"/>
        </w:tabs>
        <w:adjustRightInd w:val="0"/>
        <w:snapToGrid w:val="0"/>
        <w:spacing w:afterLines="50" w:after="149"/>
        <w:ind w:left="0"/>
        <w:jc w:val="both"/>
        <w:rPr>
          <w:rFonts w:ascii="Times New Roman" w:hAnsi="Times New Roman" w:cs="Times New Roman"/>
          <w:snapToGrid w:val="0"/>
          <w:sz w:val="28"/>
        </w:rPr>
      </w:pPr>
    </w:p>
    <w:p w14:paraId="01B1672A" w14:textId="77777777" w:rsidR="009767FC" w:rsidRPr="00247AA8" w:rsidRDefault="004D1C47" w:rsidP="009767FC">
      <w:pPr>
        <w:pStyle w:val="2"/>
        <w:tabs>
          <w:tab w:val="left" w:pos="442"/>
        </w:tabs>
        <w:adjustRightInd w:val="0"/>
        <w:snapToGrid w:val="0"/>
        <w:spacing w:before="0" w:afterLines="50" w:after="149"/>
        <w:ind w:left="0"/>
        <w:jc w:val="both"/>
        <w:rPr>
          <w:rFonts w:ascii="Times New Roman" w:hAnsi="Times New Roman" w:cs="Times New Roman"/>
          <w:b w:val="0"/>
          <w:bCs w:val="0"/>
          <w:snapToGrid w:val="0"/>
          <w:sz w:val="28"/>
        </w:rPr>
      </w:pPr>
      <w:r>
        <w:rPr>
          <w:rFonts w:ascii="Times New Roman" w:hAnsi="Times New Roman" w:hint="eastAsia"/>
          <w:snapToGrid w:val="0"/>
          <w:sz w:val="28"/>
        </w:rPr>
        <w:t>关于我们</w:t>
      </w:r>
    </w:p>
    <w:p w14:paraId="0DCF5F8C" w14:textId="77777777"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bCs/>
          <w:i/>
          <w:snapToGrid w:val="0"/>
          <w:color w:val="007F65"/>
          <w:sz w:val="28"/>
          <w:szCs w:val="18"/>
        </w:rPr>
        <w:t>莱佛</w:t>
      </w:r>
      <w:proofErr w:type="gramStart"/>
      <w:r>
        <w:rPr>
          <w:rFonts w:ascii="Times New Roman" w:eastAsia="宋体" w:hAnsi="Times New Roman" w:hint="eastAsia"/>
          <w:b/>
          <w:bCs/>
          <w:i/>
          <w:snapToGrid w:val="0"/>
          <w:color w:val="007F65"/>
          <w:sz w:val="28"/>
          <w:szCs w:val="18"/>
        </w:rPr>
        <w:t>士</w:t>
      </w:r>
      <w:r>
        <w:rPr>
          <w:rFonts w:ascii="Times New Roman" w:eastAsia="宋体" w:hAnsi="Times New Roman" w:hint="eastAsia"/>
          <w:b/>
          <w:bCs/>
          <w:i/>
          <w:snapToGrid w:val="0"/>
          <w:color w:val="57585A"/>
          <w:sz w:val="28"/>
          <w:szCs w:val="18"/>
        </w:rPr>
        <w:t>医疗</w:t>
      </w:r>
      <w:proofErr w:type="gramEnd"/>
      <w:r>
        <w:rPr>
          <w:rFonts w:ascii="Times New Roman" w:eastAsia="宋体" w:hAnsi="Times New Roman" w:hint="eastAsia"/>
          <w:b/>
          <w:bCs/>
          <w:i/>
          <w:snapToGrid w:val="0"/>
          <w:color w:val="57585A"/>
          <w:sz w:val="28"/>
          <w:szCs w:val="18"/>
        </w:rPr>
        <w:t>集团</w:t>
      </w:r>
      <w:r>
        <w:rPr>
          <w:rFonts w:ascii="Times New Roman" w:eastAsia="宋体" w:hAnsi="Times New Roman" w:hint="eastAsia"/>
          <w:b/>
          <w:bCs/>
          <w:snapToGrid w:val="0"/>
          <w:sz w:val="28"/>
          <w:szCs w:val="18"/>
        </w:rPr>
        <w:t>（</w:t>
      </w:r>
      <w:r>
        <w:rPr>
          <w:rFonts w:ascii="Times New Roman" w:eastAsia="宋体" w:hAnsi="Times New Roman" w:hint="eastAsia"/>
          <w:b/>
          <w:bCs/>
          <w:snapToGrid w:val="0"/>
          <w:sz w:val="28"/>
          <w:szCs w:val="18"/>
        </w:rPr>
        <w:t>SGX</w:t>
      </w:r>
      <w:r>
        <w:rPr>
          <w:rFonts w:ascii="Times New Roman" w:eastAsia="宋体" w:hAnsi="Times New Roman" w:hint="eastAsia"/>
          <w:b/>
          <w:bCs/>
          <w:snapToGrid w:val="0"/>
          <w:sz w:val="28"/>
          <w:szCs w:val="18"/>
        </w:rPr>
        <w:t>：</w:t>
      </w:r>
      <w:r>
        <w:rPr>
          <w:rFonts w:ascii="Times New Roman" w:eastAsia="宋体" w:hAnsi="Times New Roman" w:hint="eastAsia"/>
          <w:b/>
          <w:bCs/>
          <w:snapToGrid w:val="0"/>
          <w:sz w:val="28"/>
          <w:szCs w:val="18"/>
        </w:rPr>
        <w:t>BSL</w:t>
      </w:r>
      <w:r>
        <w:rPr>
          <w:rFonts w:ascii="Times New Roman" w:eastAsia="宋体" w:hAnsi="Times New Roman" w:hint="eastAsia"/>
          <w:b/>
          <w:bCs/>
          <w:snapToGrid w:val="0"/>
          <w:sz w:val="28"/>
          <w:szCs w:val="18"/>
        </w:rPr>
        <w:t>）</w:t>
      </w:r>
      <w:r>
        <w:rPr>
          <w:rFonts w:ascii="Times New Roman" w:eastAsia="宋体" w:hAnsi="Times New Roman" w:hint="eastAsia"/>
          <w:snapToGrid w:val="0"/>
          <w:sz w:val="28"/>
          <w:szCs w:val="18"/>
        </w:rPr>
        <w:t>是新加坡本土最大的私立医疗机构，也是亚洲领先的综合性私立医疗机构，其在新加坡等</w:t>
      </w:r>
      <w:r>
        <w:rPr>
          <w:rFonts w:ascii="Times New Roman" w:eastAsia="宋体" w:hAnsi="Times New Roman" w:hint="eastAsia"/>
          <w:snapToGrid w:val="0"/>
          <w:sz w:val="28"/>
          <w:szCs w:val="18"/>
        </w:rPr>
        <w:t>14</w:t>
      </w:r>
      <w:r>
        <w:rPr>
          <w:rFonts w:ascii="Times New Roman" w:eastAsia="宋体" w:hAnsi="Times New Roman" w:hint="eastAsia"/>
          <w:snapToGrid w:val="0"/>
          <w:sz w:val="28"/>
          <w:szCs w:val="18"/>
        </w:rPr>
        <w:t>个亚洲城市拥有超过</w:t>
      </w:r>
      <w:r>
        <w:rPr>
          <w:rFonts w:ascii="Times New Roman" w:eastAsia="宋体" w:hAnsi="Times New Roman" w:hint="eastAsia"/>
          <w:snapToGrid w:val="0"/>
          <w:sz w:val="28"/>
          <w:szCs w:val="18"/>
        </w:rPr>
        <w:t>100</w:t>
      </w:r>
      <w:r>
        <w:rPr>
          <w:rFonts w:ascii="Times New Roman" w:eastAsia="宋体" w:hAnsi="Times New Roman" w:hint="eastAsia"/>
          <w:snapToGrid w:val="0"/>
          <w:sz w:val="28"/>
          <w:szCs w:val="18"/>
        </w:rPr>
        <w:t>家多学科诊所，可提供从初级到三级的全面医疗服务。</w:t>
      </w:r>
    </w:p>
    <w:p w14:paraId="6791348F" w14:textId="2DD2FEC2"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i/>
          <w:snapToGrid w:val="0"/>
          <w:color w:val="007F65"/>
          <w:sz w:val="28"/>
        </w:rPr>
        <w:t>莱佛</w:t>
      </w:r>
      <w:proofErr w:type="gramStart"/>
      <w:r>
        <w:rPr>
          <w:rFonts w:ascii="Times New Roman" w:eastAsia="宋体" w:hAnsi="Times New Roman" w:hint="eastAsia"/>
          <w:b/>
          <w:i/>
          <w:snapToGrid w:val="0"/>
          <w:color w:val="007F65"/>
          <w:sz w:val="28"/>
        </w:rPr>
        <w:t>士</w:t>
      </w:r>
      <w:r>
        <w:rPr>
          <w:rFonts w:ascii="Times New Roman" w:eastAsia="宋体" w:hAnsi="Times New Roman" w:hint="eastAsia"/>
          <w:b/>
          <w:i/>
          <w:snapToGrid w:val="0"/>
          <w:color w:val="57585A"/>
          <w:sz w:val="28"/>
        </w:rPr>
        <w:t>医疗</w:t>
      </w:r>
      <w:proofErr w:type="gramEnd"/>
      <w:r>
        <w:rPr>
          <w:rFonts w:ascii="Times New Roman" w:eastAsia="宋体" w:hAnsi="Times New Roman" w:hint="eastAsia"/>
          <w:b/>
          <w:i/>
          <w:snapToGrid w:val="0"/>
          <w:color w:val="57585A"/>
          <w:sz w:val="28"/>
        </w:rPr>
        <w:t>集团</w:t>
      </w:r>
      <w:r>
        <w:rPr>
          <w:rFonts w:ascii="Times New Roman" w:eastAsia="宋体" w:hAnsi="Times New Roman" w:hint="eastAsia"/>
          <w:snapToGrid w:val="0"/>
          <w:sz w:val="28"/>
        </w:rPr>
        <w:t>在新加坡经营超过</w:t>
      </w:r>
      <w:r>
        <w:rPr>
          <w:rFonts w:ascii="Times New Roman" w:eastAsia="宋体" w:hAnsi="Times New Roman" w:hint="eastAsia"/>
          <w:snapToGrid w:val="0"/>
          <w:sz w:val="28"/>
        </w:rPr>
        <w:t>95</w:t>
      </w:r>
      <w:r w:rsidR="001313C3">
        <w:rPr>
          <w:rFonts w:ascii="Times New Roman" w:eastAsia="宋体" w:hAnsi="Times New Roman" w:hint="eastAsia"/>
          <w:snapToGrid w:val="0"/>
          <w:sz w:val="28"/>
        </w:rPr>
        <w:t>家多学科诊所，建立起了新加坡境内最大的私立家庭医疗和健康体检</w:t>
      </w:r>
      <w:r>
        <w:rPr>
          <w:rFonts w:ascii="Times New Roman" w:eastAsia="宋体" w:hAnsi="Times New Roman" w:hint="eastAsia"/>
          <w:snapToGrid w:val="0"/>
          <w:sz w:val="28"/>
        </w:rPr>
        <w:t>中心网络。</w:t>
      </w:r>
    </w:p>
    <w:p w14:paraId="489A335B" w14:textId="4E11A061"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i/>
          <w:snapToGrid w:val="0"/>
          <w:color w:val="007F65"/>
          <w:sz w:val="28"/>
        </w:rPr>
        <w:t>莱佛士</w:t>
      </w:r>
      <w:r>
        <w:rPr>
          <w:rFonts w:ascii="Times New Roman" w:eastAsia="宋体" w:hAnsi="Times New Roman" w:hint="eastAsia"/>
          <w:b/>
          <w:i/>
          <w:snapToGrid w:val="0"/>
          <w:color w:val="57585A"/>
          <w:sz w:val="28"/>
        </w:rPr>
        <w:t>医院</w:t>
      </w:r>
      <w:r>
        <w:rPr>
          <w:rFonts w:ascii="Times New Roman" w:eastAsia="宋体" w:hAnsi="Times New Roman" w:hint="eastAsia"/>
          <w:snapToGrid w:val="0"/>
          <w:sz w:val="28"/>
        </w:rPr>
        <w:t>（</w:t>
      </w:r>
      <w:r>
        <w:rPr>
          <w:rFonts w:ascii="Times New Roman" w:eastAsia="宋体" w:hAnsi="Times New Roman" w:hint="eastAsia"/>
          <w:snapToGrid w:val="0"/>
          <w:sz w:val="28"/>
        </w:rPr>
        <w:t>Raffles Hospital</w:t>
      </w:r>
      <w:r>
        <w:rPr>
          <w:rFonts w:ascii="Times New Roman" w:eastAsia="宋体" w:hAnsi="Times New Roman" w:hint="eastAsia"/>
          <w:snapToGrid w:val="0"/>
          <w:sz w:val="28"/>
        </w:rPr>
        <w:t>）是</w:t>
      </w:r>
      <w:r>
        <w:rPr>
          <w:rFonts w:ascii="Times New Roman" w:eastAsia="宋体" w:hAnsi="Times New Roman" w:hint="eastAsia"/>
          <w:b/>
          <w:i/>
          <w:snapToGrid w:val="0"/>
          <w:color w:val="007F65"/>
          <w:sz w:val="28"/>
        </w:rPr>
        <w:t>莱佛</w:t>
      </w:r>
      <w:proofErr w:type="gramStart"/>
      <w:r>
        <w:rPr>
          <w:rFonts w:ascii="Times New Roman" w:eastAsia="宋体" w:hAnsi="Times New Roman" w:hint="eastAsia"/>
          <w:b/>
          <w:i/>
          <w:snapToGrid w:val="0"/>
          <w:color w:val="007F65"/>
          <w:sz w:val="28"/>
        </w:rPr>
        <w:t>士</w:t>
      </w:r>
      <w:r>
        <w:rPr>
          <w:rFonts w:ascii="Times New Roman" w:eastAsia="宋体" w:hAnsi="Times New Roman" w:hint="eastAsia"/>
          <w:b/>
          <w:i/>
          <w:snapToGrid w:val="0"/>
          <w:color w:val="57585A"/>
          <w:sz w:val="28"/>
        </w:rPr>
        <w:t>医疗</w:t>
      </w:r>
      <w:proofErr w:type="gramEnd"/>
      <w:r>
        <w:rPr>
          <w:rFonts w:ascii="Times New Roman" w:eastAsia="宋体" w:hAnsi="Times New Roman" w:hint="eastAsia"/>
          <w:b/>
          <w:i/>
          <w:snapToGrid w:val="0"/>
          <w:color w:val="57585A"/>
          <w:sz w:val="28"/>
        </w:rPr>
        <w:t>集团</w:t>
      </w:r>
      <w:r>
        <w:rPr>
          <w:rFonts w:ascii="Times New Roman" w:eastAsia="宋体" w:hAnsi="Times New Roman" w:hint="eastAsia"/>
          <w:snapToGrid w:val="0"/>
          <w:sz w:val="28"/>
        </w:rPr>
        <w:t>（</w:t>
      </w:r>
      <w:r>
        <w:rPr>
          <w:rFonts w:ascii="Times New Roman" w:eastAsia="宋体" w:hAnsi="Times New Roman" w:hint="eastAsia"/>
          <w:snapToGrid w:val="0"/>
          <w:sz w:val="28"/>
        </w:rPr>
        <w:t>Raffles Medical Group</w:t>
      </w:r>
      <w:r>
        <w:rPr>
          <w:rFonts w:ascii="Times New Roman" w:eastAsia="宋体" w:hAnsi="Times New Roman" w:hint="eastAsia"/>
          <w:snapToGrid w:val="0"/>
          <w:sz w:val="28"/>
        </w:rPr>
        <w:t>）的旗舰三</w:t>
      </w:r>
      <w:r w:rsidR="001313C3">
        <w:rPr>
          <w:rFonts w:ascii="Times New Roman" w:eastAsia="宋体" w:hAnsi="Times New Roman" w:hint="eastAsia"/>
          <w:snapToGrid w:val="0"/>
          <w:sz w:val="28"/>
        </w:rPr>
        <w:t>级</w:t>
      </w:r>
      <w:r>
        <w:rPr>
          <w:rFonts w:ascii="Times New Roman" w:eastAsia="宋体" w:hAnsi="Times New Roman" w:hint="eastAsia"/>
          <w:snapToGrid w:val="0"/>
          <w:sz w:val="28"/>
        </w:rPr>
        <w:t>医院，也是新加坡唯一一家获得卫生部认证的私立医院，其各项条件均符合急性创伤护理等严格标准。该医院为住院病人和门诊病人提供广泛的专科治疗和诊断服务。医院设立了超过</w:t>
      </w:r>
      <w:r>
        <w:rPr>
          <w:rFonts w:ascii="Times New Roman" w:eastAsia="宋体" w:hAnsi="Times New Roman" w:hint="eastAsia"/>
          <w:snapToGrid w:val="0"/>
          <w:sz w:val="28"/>
        </w:rPr>
        <w:t>35</w:t>
      </w:r>
      <w:r>
        <w:rPr>
          <w:rFonts w:ascii="Times New Roman" w:eastAsia="宋体" w:hAnsi="Times New Roman" w:hint="eastAsia"/>
          <w:snapToGrid w:val="0"/>
          <w:sz w:val="28"/>
        </w:rPr>
        <w:t>个科室，</w:t>
      </w:r>
      <w:proofErr w:type="gramStart"/>
      <w:r>
        <w:rPr>
          <w:rFonts w:ascii="Times New Roman" w:eastAsia="宋体" w:hAnsi="Times New Roman" w:hint="eastAsia"/>
          <w:snapToGrid w:val="0"/>
          <w:sz w:val="28"/>
        </w:rPr>
        <w:t>其专家</w:t>
      </w:r>
      <w:proofErr w:type="gramEnd"/>
      <w:r>
        <w:rPr>
          <w:rFonts w:ascii="Times New Roman" w:eastAsia="宋体" w:hAnsi="Times New Roman" w:hint="eastAsia"/>
          <w:snapToGrid w:val="0"/>
          <w:sz w:val="28"/>
        </w:rPr>
        <w:t>团队建立了医疗专业技术和团队合作的标准规范，以确保为患者提供最佳的、可负担的和优质的护理。集团还在孟加拉国国、印度尼西亚、缅甸和越南等国设有代表处和患者联络处。</w:t>
      </w:r>
    </w:p>
    <w:p w14:paraId="5EB108FE" w14:textId="6B87B2CC"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snapToGrid w:val="0"/>
          <w:sz w:val="28"/>
        </w:rPr>
        <w:t>除了新加坡之外，</w:t>
      </w:r>
      <w:r>
        <w:rPr>
          <w:rFonts w:ascii="Times New Roman" w:eastAsia="宋体" w:hAnsi="Times New Roman" w:hint="eastAsia"/>
          <w:b/>
          <w:i/>
          <w:snapToGrid w:val="0"/>
          <w:color w:val="007F65"/>
          <w:sz w:val="28"/>
        </w:rPr>
        <w:t>莱佛士</w:t>
      </w:r>
      <w:r>
        <w:rPr>
          <w:rFonts w:ascii="Times New Roman" w:eastAsia="宋体" w:hAnsi="Times New Roman" w:hint="eastAsia"/>
          <w:b/>
          <w:i/>
          <w:snapToGrid w:val="0"/>
          <w:color w:val="57585A"/>
          <w:sz w:val="28"/>
        </w:rPr>
        <w:t>国际</w:t>
      </w:r>
      <w:r w:rsidR="009318B0" w:rsidRPr="009318B0">
        <w:rPr>
          <w:rFonts w:ascii="Times New Roman" w:eastAsia="宋体" w:hAnsi="Times New Roman" w:hint="eastAsia"/>
          <w:b/>
          <w:i/>
          <w:snapToGrid w:val="0"/>
          <w:color w:val="57585A"/>
          <w:sz w:val="28"/>
        </w:rPr>
        <w:t>医疗</w:t>
      </w:r>
      <w:r>
        <w:rPr>
          <w:rFonts w:ascii="Times New Roman" w:eastAsia="宋体" w:hAnsi="Times New Roman" w:hint="eastAsia"/>
          <w:b/>
          <w:i/>
          <w:snapToGrid w:val="0"/>
          <w:color w:val="57585A"/>
          <w:sz w:val="28"/>
        </w:rPr>
        <w:t>部</w:t>
      </w:r>
      <w:r>
        <w:rPr>
          <w:rFonts w:ascii="Times New Roman" w:eastAsia="宋体" w:hAnsi="Times New Roman" w:hint="eastAsia"/>
          <w:snapToGrid w:val="0"/>
          <w:sz w:val="28"/>
        </w:rPr>
        <w:t>（</w:t>
      </w:r>
      <w:r>
        <w:rPr>
          <w:rFonts w:ascii="Times New Roman" w:eastAsia="宋体" w:hAnsi="Times New Roman" w:hint="eastAsia"/>
          <w:snapToGrid w:val="0"/>
          <w:sz w:val="28"/>
        </w:rPr>
        <w:t xml:space="preserve">Raffles </w:t>
      </w:r>
      <w:proofErr w:type="spellStart"/>
      <w:r>
        <w:rPr>
          <w:rFonts w:ascii="Times New Roman" w:eastAsia="宋体" w:hAnsi="Times New Roman" w:hint="eastAsia"/>
          <w:snapToGrid w:val="0"/>
          <w:sz w:val="28"/>
        </w:rPr>
        <w:t>MedicalInternational</w:t>
      </w:r>
      <w:proofErr w:type="spellEnd"/>
      <w:r>
        <w:rPr>
          <w:rFonts w:ascii="Times New Roman" w:eastAsia="宋体" w:hAnsi="Times New Roman" w:hint="eastAsia"/>
          <w:snapToGrid w:val="0"/>
          <w:sz w:val="28"/>
        </w:rPr>
        <w:t>）还在其他</w:t>
      </w:r>
      <w:r>
        <w:rPr>
          <w:rFonts w:ascii="Times New Roman" w:eastAsia="宋体" w:hAnsi="Times New Roman" w:hint="eastAsia"/>
          <w:snapToGrid w:val="0"/>
          <w:sz w:val="28"/>
        </w:rPr>
        <w:t>13</w:t>
      </w:r>
      <w:r>
        <w:rPr>
          <w:rFonts w:ascii="Times New Roman" w:eastAsia="宋体" w:hAnsi="Times New Roman" w:hint="eastAsia"/>
          <w:snapToGrid w:val="0"/>
          <w:sz w:val="28"/>
        </w:rPr>
        <w:t>个亚洲城市设立医疗机构，覆盖日本、越南、柬埔寨和大中华地区。</w:t>
      </w:r>
    </w:p>
    <w:p w14:paraId="48B2D76F" w14:textId="671C993D"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bCs/>
          <w:i/>
          <w:snapToGrid w:val="0"/>
          <w:color w:val="007F65"/>
          <w:sz w:val="28"/>
          <w:szCs w:val="18"/>
        </w:rPr>
        <w:t>莱佛士</w:t>
      </w:r>
      <w:r>
        <w:rPr>
          <w:rFonts w:ascii="Times New Roman" w:eastAsia="宋体" w:hAnsi="Times New Roman" w:hint="eastAsia"/>
          <w:b/>
          <w:bCs/>
          <w:i/>
          <w:snapToGrid w:val="0"/>
          <w:color w:val="57585A"/>
          <w:sz w:val="28"/>
          <w:szCs w:val="18"/>
        </w:rPr>
        <w:t>中国医疗</w:t>
      </w:r>
      <w:r w:rsidR="009318B0" w:rsidRPr="009318B0">
        <w:rPr>
          <w:rFonts w:ascii="Times New Roman" w:eastAsia="宋体" w:hAnsi="Times New Roman" w:hint="eastAsia"/>
          <w:b/>
          <w:bCs/>
          <w:i/>
          <w:snapToGrid w:val="0"/>
          <w:color w:val="57585A"/>
          <w:sz w:val="28"/>
          <w:szCs w:val="18"/>
        </w:rPr>
        <w:t>部</w:t>
      </w:r>
      <w:r>
        <w:rPr>
          <w:rFonts w:ascii="Times New Roman" w:eastAsia="宋体" w:hAnsi="Times New Roman" w:hint="eastAsia"/>
          <w:snapToGrid w:val="0"/>
          <w:sz w:val="28"/>
          <w:szCs w:val="18"/>
        </w:rPr>
        <w:t xml:space="preserve">(Raffles </w:t>
      </w:r>
      <w:proofErr w:type="spellStart"/>
      <w:r>
        <w:rPr>
          <w:rFonts w:ascii="Times New Roman" w:eastAsia="宋体" w:hAnsi="Times New Roman" w:hint="eastAsia"/>
          <w:snapToGrid w:val="0"/>
          <w:sz w:val="28"/>
          <w:szCs w:val="18"/>
        </w:rPr>
        <w:t>ChinaHealthcare</w:t>
      </w:r>
      <w:proofErr w:type="spellEnd"/>
      <w:r>
        <w:rPr>
          <w:rFonts w:ascii="Times New Roman" w:eastAsia="宋体" w:hAnsi="Times New Roman" w:hint="eastAsia"/>
          <w:snapToGrid w:val="0"/>
          <w:sz w:val="28"/>
          <w:szCs w:val="18"/>
        </w:rPr>
        <w:t xml:space="preserve"> )</w:t>
      </w:r>
      <w:r>
        <w:rPr>
          <w:rFonts w:ascii="Times New Roman" w:eastAsia="宋体" w:hAnsi="Times New Roman" w:hint="eastAsia"/>
          <w:snapToGrid w:val="0"/>
          <w:sz w:val="28"/>
          <w:szCs w:val="18"/>
        </w:rPr>
        <w:t>是莱佛</w:t>
      </w:r>
      <w:proofErr w:type="gramStart"/>
      <w:r>
        <w:rPr>
          <w:rFonts w:ascii="Times New Roman" w:eastAsia="宋体" w:hAnsi="Times New Roman" w:hint="eastAsia"/>
          <w:snapToGrid w:val="0"/>
          <w:sz w:val="28"/>
          <w:szCs w:val="18"/>
        </w:rPr>
        <w:t>士医疗</w:t>
      </w:r>
      <w:proofErr w:type="gramEnd"/>
      <w:r>
        <w:rPr>
          <w:rFonts w:ascii="Times New Roman" w:eastAsia="宋体" w:hAnsi="Times New Roman" w:hint="eastAsia"/>
          <w:snapToGrid w:val="0"/>
          <w:sz w:val="28"/>
          <w:szCs w:val="18"/>
        </w:rPr>
        <w:t>集团（</w:t>
      </w:r>
      <w:proofErr w:type="spellStart"/>
      <w:r>
        <w:rPr>
          <w:rFonts w:ascii="Times New Roman" w:eastAsia="宋体" w:hAnsi="Times New Roman" w:hint="eastAsia"/>
          <w:snapToGrid w:val="0"/>
          <w:sz w:val="28"/>
          <w:szCs w:val="18"/>
        </w:rPr>
        <w:t>RafflesMedicalGroup</w:t>
      </w:r>
      <w:proofErr w:type="spellEnd"/>
      <w:r>
        <w:rPr>
          <w:rFonts w:ascii="Times New Roman" w:eastAsia="宋体" w:hAnsi="Times New Roman" w:hint="eastAsia"/>
          <w:snapToGrid w:val="0"/>
          <w:sz w:val="28"/>
          <w:szCs w:val="18"/>
        </w:rPr>
        <w:t>）在中国的运营部门，负责提供从初级到三级的全</w:t>
      </w:r>
      <w:r>
        <w:rPr>
          <w:rFonts w:ascii="Times New Roman" w:eastAsia="宋体" w:hAnsi="Times New Roman" w:hint="eastAsia"/>
          <w:snapToGrid w:val="0"/>
          <w:sz w:val="28"/>
          <w:szCs w:val="18"/>
        </w:rPr>
        <w:lastRenderedPageBreak/>
        <w:t>面医疗服务。集团预计，</w:t>
      </w:r>
      <w:r w:rsidRPr="009318B0">
        <w:rPr>
          <w:rFonts w:ascii="Times New Roman" w:eastAsia="宋体" w:hAnsi="Times New Roman" w:hint="eastAsia"/>
          <w:b/>
          <w:bCs/>
          <w:i/>
          <w:snapToGrid w:val="0"/>
          <w:color w:val="57585A"/>
          <w:sz w:val="28"/>
          <w:szCs w:val="18"/>
        </w:rPr>
        <w:t>北京</w:t>
      </w:r>
      <w:r>
        <w:rPr>
          <w:rFonts w:ascii="Times New Roman" w:eastAsia="宋体" w:hAnsi="Times New Roman" w:hint="eastAsia"/>
          <w:b/>
          <w:bCs/>
          <w:i/>
          <w:snapToGrid w:val="0"/>
          <w:color w:val="007F65"/>
          <w:sz w:val="28"/>
          <w:szCs w:val="18"/>
        </w:rPr>
        <w:t>莱佛士</w:t>
      </w:r>
      <w:r>
        <w:rPr>
          <w:rFonts w:ascii="Times New Roman" w:eastAsia="宋体" w:hAnsi="Times New Roman" w:hint="eastAsia"/>
          <w:b/>
          <w:bCs/>
          <w:i/>
          <w:snapToGrid w:val="0"/>
          <w:color w:val="57585A"/>
          <w:sz w:val="28"/>
          <w:szCs w:val="18"/>
        </w:rPr>
        <w:t>医院</w:t>
      </w:r>
      <w:r>
        <w:rPr>
          <w:rFonts w:ascii="Times New Roman" w:eastAsia="宋体" w:hAnsi="Times New Roman" w:hint="eastAsia"/>
          <w:snapToGrid w:val="0"/>
          <w:sz w:val="28"/>
          <w:szCs w:val="18"/>
        </w:rPr>
        <w:t>将在</w:t>
      </w:r>
      <w:r>
        <w:rPr>
          <w:rFonts w:ascii="Times New Roman" w:eastAsia="宋体" w:hAnsi="Times New Roman" w:hint="eastAsia"/>
          <w:snapToGrid w:val="0"/>
          <w:sz w:val="28"/>
          <w:szCs w:val="18"/>
        </w:rPr>
        <w:t>2021</w:t>
      </w:r>
      <w:r>
        <w:rPr>
          <w:rFonts w:ascii="Times New Roman" w:eastAsia="宋体" w:hAnsi="Times New Roman" w:hint="eastAsia"/>
          <w:snapToGrid w:val="0"/>
          <w:sz w:val="28"/>
          <w:szCs w:val="18"/>
        </w:rPr>
        <w:t>年落成，</w:t>
      </w:r>
      <w:r w:rsidRPr="009318B0">
        <w:rPr>
          <w:rFonts w:ascii="Times New Roman" w:eastAsia="宋体" w:hAnsi="Times New Roman" w:hint="eastAsia"/>
          <w:b/>
          <w:bCs/>
          <w:i/>
          <w:snapToGrid w:val="0"/>
          <w:color w:val="57585A"/>
          <w:sz w:val="28"/>
          <w:szCs w:val="18"/>
        </w:rPr>
        <w:t>上海</w:t>
      </w:r>
      <w:r>
        <w:rPr>
          <w:rFonts w:ascii="Times New Roman" w:eastAsia="宋体" w:hAnsi="Times New Roman" w:hint="eastAsia"/>
          <w:b/>
          <w:bCs/>
          <w:i/>
          <w:snapToGrid w:val="0"/>
          <w:color w:val="007F65"/>
          <w:sz w:val="28"/>
          <w:szCs w:val="18"/>
        </w:rPr>
        <w:t>莱佛士</w:t>
      </w:r>
      <w:r>
        <w:rPr>
          <w:rFonts w:ascii="Times New Roman" w:eastAsia="宋体" w:hAnsi="Times New Roman" w:hint="eastAsia"/>
          <w:b/>
          <w:bCs/>
          <w:i/>
          <w:snapToGrid w:val="0"/>
          <w:color w:val="57585A"/>
          <w:sz w:val="28"/>
          <w:szCs w:val="18"/>
        </w:rPr>
        <w:t>医院</w:t>
      </w:r>
      <w:r w:rsidR="00364638">
        <w:rPr>
          <w:rFonts w:ascii="Times New Roman" w:eastAsia="宋体" w:hAnsi="Times New Roman" w:hint="eastAsia"/>
          <w:snapToGrid w:val="0"/>
          <w:sz w:val="28"/>
          <w:szCs w:val="18"/>
        </w:rPr>
        <w:t>则在次年投入使用。二者分别</w:t>
      </w:r>
      <w:r>
        <w:rPr>
          <w:rFonts w:ascii="Times New Roman" w:eastAsia="宋体" w:hAnsi="Times New Roman" w:hint="eastAsia"/>
          <w:snapToGrid w:val="0"/>
          <w:sz w:val="28"/>
          <w:szCs w:val="18"/>
        </w:rPr>
        <w:t>是集团在中国开设的第二家和第三家国际医院。集团现有的服务网络覆盖大中华区的八个城市，包括大连、深圳、香</w:t>
      </w:r>
      <w:r w:rsidR="00364638">
        <w:rPr>
          <w:rFonts w:ascii="Times New Roman" w:eastAsia="宋体" w:hAnsi="Times New Roman" w:hint="eastAsia"/>
          <w:snapToGrid w:val="0"/>
          <w:sz w:val="28"/>
          <w:szCs w:val="18"/>
        </w:rPr>
        <w:t>港特区、天津、南京、重庆、北京和上海。集团在中国设立了第一家三级</w:t>
      </w:r>
      <w:r>
        <w:rPr>
          <w:rFonts w:ascii="Times New Roman" w:eastAsia="宋体" w:hAnsi="Times New Roman" w:hint="eastAsia"/>
          <w:snapToGrid w:val="0"/>
          <w:sz w:val="28"/>
          <w:szCs w:val="18"/>
        </w:rPr>
        <w:t>医院——</w:t>
      </w:r>
      <w:r>
        <w:rPr>
          <w:rFonts w:ascii="Times New Roman" w:eastAsia="宋体" w:hAnsi="Times New Roman" w:hint="eastAsia"/>
          <w:b/>
          <w:i/>
          <w:snapToGrid w:val="0"/>
          <w:sz w:val="28"/>
          <w:szCs w:val="18"/>
        </w:rPr>
        <w:t>重庆</w:t>
      </w:r>
      <w:r>
        <w:rPr>
          <w:rFonts w:ascii="Times New Roman" w:eastAsia="宋体" w:hAnsi="Times New Roman" w:hint="eastAsia"/>
          <w:b/>
          <w:bCs/>
          <w:i/>
          <w:snapToGrid w:val="0"/>
          <w:color w:val="007F65"/>
          <w:sz w:val="28"/>
          <w:szCs w:val="18"/>
        </w:rPr>
        <w:t>莱佛士</w:t>
      </w:r>
      <w:r>
        <w:rPr>
          <w:rFonts w:ascii="Times New Roman" w:eastAsia="宋体" w:hAnsi="Times New Roman" w:hint="eastAsia"/>
          <w:b/>
          <w:bCs/>
          <w:i/>
          <w:snapToGrid w:val="0"/>
          <w:color w:val="57585A"/>
          <w:sz w:val="28"/>
          <w:szCs w:val="18"/>
        </w:rPr>
        <w:t>医院</w:t>
      </w:r>
      <w:r>
        <w:rPr>
          <w:rFonts w:ascii="Times New Roman" w:eastAsia="宋体" w:hAnsi="Times New Roman" w:hint="eastAsia"/>
          <w:snapToGrid w:val="0"/>
          <w:sz w:val="28"/>
          <w:szCs w:val="18"/>
        </w:rPr>
        <w:t>。</w:t>
      </w:r>
    </w:p>
    <w:p w14:paraId="0FFF8B07" w14:textId="77777777"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snapToGrid w:val="0"/>
          <w:sz w:val="28"/>
          <w:szCs w:val="18"/>
        </w:rPr>
        <w:t>自</w:t>
      </w:r>
      <w:r>
        <w:rPr>
          <w:rFonts w:ascii="Times New Roman" w:eastAsia="宋体" w:hAnsi="Times New Roman" w:hint="eastAsia"/>
          <w:snapToGrid w:val="0"/>
          <w:sz w:val="28"/>
          <w:szCs w:val="18"/>
        </w:rPr>
        <w:t>1995</w:t>
      </w:r>
      <w:r>
        <w:rPr>
          <w:rFonts w:ascii="Times New Roman" w:eastAsia="宋体" w:hAnsi="Times New Roman" w:hint="eastAsia"/>
          <w:snapToGrid w:val="0"/>
          <w:sz w:val="28"/>
          <w:szCs w:val="18"/>
        </w:rPr>
        <w:t>年起，集团就在香港特区开展业务，并分别在尖</w:t>
      </w:r>
      <w:proofErr w:type="gramStart"/>
      <w:r>
        <w:rPr>
          <w:rFonts w:ascii="Times New Roman" w:eastAsia="宋体" w:hAnsi="Times New Roman" w:hint="eastAsia"/>
          <w:snapToGrid w:val="0"/>
          <w:sz w:val="28"/>
          <w:szCs w:val="18"/>
        </w:rPr>
        <w:t>沙咀</w:t>
      </w:r>
      <w:proofErr w:type="gramEnd"/>
      <w:r>
        <w:rPr>
          <w:rFonts w:ascii="Times New Roman" w:eastAsia="宋体" w:hAnsi="Times New Roman" w:hint="eastAsia"/>
          <w:snapToGrid w:val="0"/>
          <w:sz w:val="28"/>
          <w:szCs w:val="18"/>
        </w:rPr>
        <w:t>皇后大道中的连卡佛大厦和香港国际机场设有三家医疗中心。</w:t>
      </w:r>
    </w:p>
    <w:p w14:paraId="59854CE1" w14:textId="77777777"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i/>
          <w:snapToGrid w:val="0"/>
          <w:color w:val="007F65"/>
          <w:sz w:val="28"/>
        </w:rPr>
        <w:t>莱佛士牙科（</w:t>
      </w:r>
      <w:proofErr w:type="spellStart"/>
      <w:r>
        <w:rPr>
          <w:rFonts w:ascii="Times New Roman" w:eastAsia="宋体" w:hAnsi="Times New Roman" w:hint="eastAsia"/>
          <w:b/>
          <w:i/>
          <w:snapToGrid w:val="0"/>
          <w:color w:val="007F65"/>
          <w:sz w:val="28"/>
        </w:rPr>
        <w:t>RafflesDental</w:t>
      </w:r>
      <w:proofErr w:type="spellEnd"/>
      <w:r>
        <w:rPr>
          <w:rFonts w:ascii="Times New Roman" w:eastAsia="宋体" w:hAnsi="Times New Roman" w:hint="eastAsia"/>
          <w:b/>
          <w:i/>
          <w:snapToGrid w:val="0"/>
          <w:color w:val="007F65"/>
          <w:sz w:val="28"/>
        </w:rPr>
        <w:t>）</w:t>
      </w:r>
      <w:r>
        <w:rPr>
          <w:rFonts w:ascii="Times New Roman" w:eastAsia="宋体" w:hAnsi="Times New Roman" w:hint="eastAsia"/>
          <w:snapToGrid w:val="0"/>
          <w:sz w:val="28"/>
        </w:rPr>
        <w:t>在新加坡和中国建立的以团队为基础的多专业牙科集团。</w:t>
      </w:r>
    </w:p>
    <w:p w14:paraId="69E33C90" w14:textId="77777777" w:rsidR="009767FC" w:rsidRPr="00247AA8"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szCs w:val="18"/>
        </w:rPr>
      </w:pPr>
      <w:r>
        <w:rPr>
          <w:rFonts w:ascii="Times New Roman" w:eastAsia="宋体" w:hAnsi="Times New Roman" w:hint="eastAsia"/>
          <w:b/>
          <w:i/>
          <w:snapToGrid w:val="0"/>
          <w:color w:val="007F65"/>
          <w:sz w:val="28"/>
        </w:rPr>
        <w:t>莱佛</w:t>
      </w:r>
      <w:proofErr w:type="gramStart"/>
      <w:r>
        <w:rPr>
          <w:rFonts w:ascii="Times New Roman" w:eastAsia="宋体" w:hAnsi="Times New Roman" w:hint="eastAsia"/>
          <w:b/>
          <w:i/>
          <w:snapToGrid w:val="0"/>
          <w:color w:val="007F65"/>
          <w:sz w:val="28"/>
        </w:rPr>
        <w:t>士</w:t>
      </w:r>
      <w:r w:rsidRPr="009318B0">
        <w:rPr>
          <w:rFonts w:ascii="Times New Roman" w:eastAsia="宋体" w:hAnsi="Times New Roman" w:hint="eastAsia"/>
          <w:b/>
          <w:bCs/>
          <w:i/>
          <w:snapToGrid w:val="0"/>
          <w:color w:val="57585A"/>
          <w:sz w:val="28"/>
          <w:szCs w:val="18"/>
        </w:rPr>
        <w:t>健康</w:t>
      </w:r>
      <w:proofErr w:type="gramEnd"/>
      <w:r w:rsidRPr="009318B0">
        <w:rPr>
          <w:rFonts w:ascii="Times New Roman" w:eastAsia="宋体" w:hAnsi="Times New Roman" w:hint="eastAsia"/>
          <w:b/>
          <w:bCs/>
          <w:i/>
          <w:snapToGrid w:val="0"/>
          <w:color w:val="57585A"/>
          <w:sz w:val="28"/>
          <w:szCs w:val="18"/>
        </w:rPr>
        <w:t>保险</w:t>
      </w:r>
      <w:r>
        <w:rPr>
          <w:rFonts w:ascii="Times New Roman" w:eastAsia="宋体" w:hAnsi="Times New Roman" w:hint="eastAsia"/>
          <w:snapToGrid w:val="0"/>
          <w:sz w:val="28"/>
        </w:rPr>
        <w:t>（</w:t>
      </w:r>
      <w:r>
        <w:rPr>
          <w:rFonts w:ascii="Times New Roman" w:eastAsia="宋体" w:hAnsi="Times New Roman" w:hint="eastAsia"/>
          <w:snapToGrid w:val="0"/>
          <w:sz w:val="28"/>
        </w:rPr>
        <w:t xml:space="preserve">Raffles </w:t>
      </w:r>
      <w:proofErr w:type="spellStart"/>
      <w:r>
        <w:rPr>
          <w:rFonts w:ascii="Times New Roman" w:eastAsia="宋体" w:hAnsi="Times New Roman" w:hint="eastAsia"/>
          <w:snapToGrid w:val="0"/>
          <w:sz w:val="28"/>
        </w:rPr>
        <w:t>Healthinsurance</w:t>
      </w:r>
      <w:proofErr w:type="spellEnd"/>
      <w:r>
        <w:rPr>
          <w:rFonts w:ascii="Times New Roman" w:eastAsia="宋体" w:hAnsi="Times New Roman" w:hint="eastAsia"/>
          <w:snapToGrid w:val="0"/>
          <w:sz w:val="28"/>
        </w:rPr>
        <w:t>）为企业和个人客户提供健康保险，并经卫生部批准提供莱佛</w:t>
      </w:r>
      <w:proofErr w:type="gramStart"/>
      <w:r>
        <w:rPr>
          <w:rFonts w:ascii="Times New Roman" w:eastAsia="宋体" w:hAnsi="Times New Roman" w:hint="eastAsia"/>
          <w:snapToGrid w:val="0"/>
          <w:sz w:val="28"/>
        </w:rPr>
        <w:t>士综合健</w:t>
      </w:r>
      <w:proofErr w:type="gramEnd"/>
      <w:r>
        <w:rPr>
          <w:rFonts w:ascii="Times New Roman" w:eastAsia="宋体" w:hAnsi="Times New Roman" w:hint="eastAsia"/>
          <w:snapToGrid w:val="0"/>
          <w:sz w:val="28"/>
        </w:rPr>
        <w:t>保计划（</w:t>
      </w:r>
      <w:r>
        <w:rPr>
          <w:rFonts w:ascii="Times New Roman" w:eastAsia="宋体" w:hAnsi="Times New Roman" w:hint="eastAsia"/>
          <w:snapToGrid w:val="0"/>
          <w:sz w:val="28"/>
        </w:rPr>
        <w:t>Raffles Shield</w:t>
      </w:r>
      <w:r>
        <w:rPr>
          <w:rFonts w:ascii="Times New Roman" w:eastAsia="宋体" w:hAnsi="Times New Roman" w:hint="eastAsia"/>
          <w:snapToGrid w:val="0"/>
          <w:sz w:val="28"/>
        </w:rPr>
        <w:t>）。</w:t>
      </w:r>
    </w:p>
    <w:p w14:paraId="4D973E92" w14:textId="77777777" w:rsidR="009767FC" w:rsidRPr="00022E7A" w:rsidRDefault="004D1C47" w:rsidP="009767FC">
      <w:pPr>
        <w:tabs>
          <w:tab w:val="left" w:pos="442"/>
        </w:tabs>
        <w:adjustRightInd w:val="0"/>
        <w:snapToGrid w:val="0"/>
        <w:spacing w:afterLines="50" w:after="149"/>
        <w:jc w:val="both"/>
        <w:rPr>
          <w:rFonts w:ascii="Times New Roman" w:eastAsia="宋体" w:hAnsi="Times New Roman" w:cs="Times New Roman"/>
          <w:snapToGrid w:val="0"/>
          <w:sz w:val="28"/>
        </w:rPr>
      </w:pPr>
      <w:r>
        <w:rPr>
          <w:rFonts w:ascii="Times New Roman" w:eastAsia="宋体" w:hAnsi="Times New Roman" w:hint="eastAsia"/>
          <w:snapToGrid w:val="0"/>
          <w:sz w:val="28"/>
        </w:rPr>
        <w:t>欲知更多详情，</w:t>
      </w:r>
      <w:proofErr w:type="gramStart"/>
      <w:r>
        <w:rPr>
          <w:rFonts w:ascii="Times New Roman" w:eastAsia="宋体" w:hAnsi="Times New Roman" w:hint="eastAsia"/>
          <w:snapToGrid w:val="0"/>
          <w:sz w:val="28"/>
        </w:rPr>
        <w:t>请访问</w:t>
      </w:r>
      <w:proofErr w:type="gramEnd"/>
      <w:r>
        <w:rPr>
          <w:rFonts w:ascii="Times New Roman" w:eastAsia="宋体" w:hAnsi="Times New Roman" w:hint="eastAsia"/>
          <w:snapToGrid w:val="0"/>
          <w:sz w:val="28"/>
        </w:rPr>
        <w:t>我们的网站：</w:t>
      </w:r>
      <w:r>
        <w:rPr>
          <w:rFonts w:ascii="Times New Roman" w:eastAsia="宋体" w:hAnsi="Times New Roman" w:hint="eastAsia"/>
          <w:b/>
          <w:i/>
          <w:snapToGrid w:val="0"/>
          <w:color w:val="007F65"/>
          <w:sz w:val="28"/>
          <w:u w:val="single"/>
        </w:rPr>
        <w:t>raffles</w:t>
      </w:r>
      <w:r>
        <w:rPr>
          <w:rFonts w:ascii="Times New Roman" w:eastAsia="宋体" w:hAnsi="Times New Roman" w:hint="eastAsia"/>
          <w:b/>
          <w:i/>
          <w:snapToGrid w:val="0"/>
          <w:color w:val="57585A"/>
          <w:sz w:val="28"/>
          <w:u w:val="single"/>
        </w:rPr>
        <w:t>medicalgroup.com</w:t>
      </w:r>
      <w:r w:rsidRPr="00364638">
        <w:rPr>
          <w:rFonts w:ascii="Times New Roman" w:eastAsia="宋体" w:hAnsi="Times New Roman" w:hint="eastAsia"/>
          <w:snapToGrid w:val="0"/>
          <w:sz w:val="28"/>
        </w:rPr>
        <w:t>。</w:t>
      </w:r>
    </w:p>
    <w:sectPr w:rsidR="009767FC" w:rsidRPr="00022E7A" w:rsidSect="00247AA8">
      <w:headerReference w:type="default" r:id="rId7"/>
      <w:footerReference w:type="default" r:id="rId8"/>
      <w:pgSz w:w="11900" w:h="16840"/>
      <w:pgMar w:top="1417" w:right="1417" w:bottom="1417" w:left="1417" w:header="1134" w:footer="992" w:gutter="0"/>
      <w:pgNumType w:start="1"/>
      <w:cols w:space="425"/>
      <w:docGrid w:type="lines"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F8F0" w14:textId="77777777" w:rsidR="00F560C3" w:rsidRDefault="00F560C3">
      <w:r>
        <w:separator/>
      </w:r>
    </w:p>
  </w:endnote>
  <w:endnote w:type="continuationSeparator" w:id="0">
    <w:p w14:paraId="7309D941" w14:textId="77777777" w:rsidR="00F560C3" w:rsidRDefault="00F5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4498" w14:textId="18BC51D0" w:rsidR="006F1DFA" w:rsidRPr="00247AA8" w:rsidRDefault="00247AA8" w:rsidP="00247AA8">
    <w:pPr>
      <w:adjustRightInd w:val="0"/>
      <w:snapToGrid w:val="0"/>
      <w:jc w:val="right"/>
      <w:rPr>
        <w:rFonts w:ascii="Times New Roman" w:eastAsia="宋体" w:hAnsi="Times New Roman" w:cs="Times New Roman"/>
        <w:snapToGrid w:val="0"/>
        <w:sz w:val="21"/>
        <w:szCs w:val="20"/>
      </w:rPr>
    </w:pPr>
    <w:r w:rsidRPr="00247AA8">
      <w:rPr>
        <w:rFonts w:ascii="Times New Roman" w:eastAsia="宋体" w:hAnsi="Times New Roman" w:cs="Times New Roman" w:hint="eastAsia"/>
        <w:snapToGrid w:val="0"/>
        <w:sz w:val="21"/>
        <w:szCs w:val="20"/>
      </w:rPr>
      <w:fldChar w:fldCharType="begin"/>
    </w:r>
    <w:r w:rsidRPr="00247AA8">
      <w:rPr>
        <w:rFonts w:ascii="Times New Roman" w:eastAsia="宋体" w:hAnsi="Times New Roman" w:cs="Times New Roman" w:hint="eastAsia"/>
        <w:snapToGrid w:val="0"/>
        <w:sz w:val="21"/>
        <w:szCs w:val="20"/>
      </w:rPr>
      <w:instrText>PAGE   \* MERGEFORMAT</w:instrText>
    </w:r>
    <w:r w:rsidRPr="00247AA8">
      <w:rPr>
        <w:rFonts w:ascii="Times New Roman" w:eastAsia="宋体" w:hAnsi="Times New Roman" w:cs="Times New Roman" w:hint="eastAsia"/>
        <w:snapToGrid w:val="0"/>
        <w:sz w:val="21"/>
        <w:szCs w:val="20"/>
      </w:rPr>
      <w:fldChar w:fldCharType="separate"/>
    </w:r>
    <w:r w:rsidR="00347F05">
      <w:rPr>
        <w:rFonts w:ascii="Times New Roman" w:eastAsia="宋体" w:hAnsi="Times New Roman" w:cs="Times New Roman"/>
        <w:noProof/>
        <w:snapToGrid w:val="0"/>
        <w:sz w:val="21"/>
        <w:szCs w:val="20"/>
      </w:rPr>
      <w:t>3</w:t>
    </w:r>
    <w:r w:rsidRPr="00247AA8">
      <w:rPr>
        <w:rFonts w:ascii="Times New Roman" w:eastAsia="宋体" w:hAnsi="Times New Roman" w:cs="Times New Roman" w:hint="eastAsia"/>
        <w:snapToGrid w:val="0"/>
        <w:sz w:val="21"/>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9538" w14:textId="77777777" w:rsidR="00F560C3" w:rsidRDefault="00F560C3" w:rsidP="009767FC">
      <w:pPr>
        <w:adjustRightInd w:val="0"/>
        <w:snapToGrid w:val="0"/>
      </w:pPr>
      <w:r>
        <w:separator/>
      </w:r>
    </w:p>
  </w:footnote>
  <w:footnote w:type="continuationSeparator" w:id="0">
    <w:p w14:paraId="685806B6" w14:textId="77777777" w:rsidR="00F560C3" w:rsidRDefault="00F560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44AD" w14:textId="77777777" w:rsidR="006F1DFA" w:rsidRDefault="006F1DFA" w:rsidP="009767FC">
    <w:pPr>
      <w:spacing w:line="14" w:lineRule="auto"/>
      <w:rPr>
        <w:sz w:val="2"/>
        <w:szCs w:val="2"/>
      </w:rPr>
    </w:pPr>
  </w:p>
  <w:p w14:paraId="27EF6D5A" w14:textId="77777777" w:rsidR="00A64BA2" w:rsidRDefault="00A64BA2" w:rsidP="009767FC">
    <w:pPr>
      <w:spacing w:line="14" w:lineRule="auto"/>
      <w:rPr>
        <w:sz w:val="2"/>
        <w:szCs w:val="2"/>
      </w:rPr>
    </w:pPr>
  </w:p>
  <w:p w14:paraId="2742DAA2" w14:textId="77777777" w:rsidR="00A64BA2" w:rsidRDefault="00A64BA2" w:rsidP="009767FC">
    <w:pPr>
      <w:spacing w:line="14" w:lineRule="auto"/>
      <w:rPr>
        <w:sz w:val="2"/>
        <w:szCs w:val="2"/>
      </w:rPr>
    </w:pPr>
  </w:p>
  <w:p w14:paraId="4ACA3086" w14:textId="65356BD4" w:rsidR="006F1DFA" w:rsidRDefault="000B1AE1" w:rsidP="00A64BA2">
    <w:r>
      <w:rPr>
        <w:noProof/>
      </w:rPr>
      <w:drawing>
        <wp:inline distT="0" distB="0" distL="0" distR="0" wp14:anchorId="4D768C04" wp14:editId="01BE2A03">
          <wp:extent cx="2194560" cy="4754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fflesMedical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475415"/>
                  </a:xfrm>
                  <a:prstGeom prst="rect">
                    <a:avLst/>
                  </a:prstGeom>
                </pic:spPr>
              </pic:pic>
            </a:graphicData>
          </a:graphic>
        </wp:inline>
      </w:drawing>
    </w:r>
  </w:p>
  <w:p w14:paraId="49B45CF2" w14:textId="77777777" w:rsidR="00A64BA2" w:rsidRDefault="00A64BA2" w:rsidP="00A64B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384"/>
    <w:multiLevelType w:val="multilevel"/>
    <w:tmpl w:val="F5F8EFEC"/>
    <w:lvl w:ilvl="0">
      <w:start w:val="2"/>
      <w:numFmt w:val="decimal"/>
      <w:lvlText w:val="%1"/>
      <w:lvlJc w:val="left"/>
      <w:pPr>
        <w:ind w:left="488" w:hanging="370"/>
        <w:jc w:val="left"/>
      </w:pPr>
      <w:rPr>
        <w:rFonts w:hint="default"/>
      </w:rPr>
    </w:lvl>
    <w:lvl w:ilvl="1">
      <w:start w:val="5"/>
      <w:numFmt w:val="decimal"/>
      <w:lvlText w:val="%1.%2"/>
      <w:lvlJc w:val="left"/>
      <w:pPr>
        <w:ind w:left="488" w:hanging="370"/>
        <w:jc w:val="left"/>
      </w:pPr>
      <w:rPr>
        <w:rFonts w:ascii="Arial" w:eastAsia="Arial" w:hAnsi="Arial" w:hint="default"/>
        <w:b/>
        <w:bCs/>
        <w:spacing w:val="-1"/>
        <w:sz w:val="22"/>
        <w:szCs w:val="22"/>
      </w:rPr>
    </w:lvl>
    <w:lvl w:ilvl="2">
      <w:start w:val="1"/>
      <w:numFmt w:val="bullet"/>
      <w:lvlText w:val="●"/>
      <w:lvlJc w:val="left"/>
      <w:pPr>
        <w:ind w:left="580" w:hanging="361"/>
      </w:pPr>
      <w:rPr>
        <w:rFonts w:ascii="Arial" w:hAnsi="Arial" w:hint="default"/>
        <w:sz w:val="22"/>
        <w:szCs w:val="22"/>
      </w:rPr>
    </w:lvl>
    <w:lvl w:ilvl="3">
      <w:start w:val="1"/>
      <w:numFmt w:val="bullet"/>
      <w:lvlText w:val="•"/>
      <w:lvlJc w:val="left"/>
      <w:pPr>
        <w:ind w:left="2637" w:hanging="361"/>
      </w:pPr>
      <w:rPr>
        <w:rFonts w:hint="default"/>
      </w:rPr>
    </w:lvl>
    <w:lvl w:ilvl="4">
      <w:start w:val="1"/>
      <w:numFmt w:val="bullet"/>
      <w:lvlText w:val="•"/>
      <w:lvlJc w:val="left"/>
      <w:pPr>
        <w:ind w:left="3666" w:hanging="361"/>
      </w:pPr>
      <w:rPr>
        <w:rFonts w:hint="default"/>
      </w:rPr>
    </w:lvl>
    <w:lvl w:ilvl="5">
      <w:start w:val="1"/>
      <w:numFmt w:val="bullet"/>
      <w:lvlText w:val="•"/>
      <w:lvlJc w:val="left"/>
      <w:pPr>
        <w:ind w:left="4695" w:hanging="361"/>
      </w:pPr>
      <w:rPr>
        <w:rFonts w:hint="default"/>
      </w:rPr>
    </w:lvl>
    <w:lvl w:ilvl="6">
      <w:start w:val="1"/>
      <w:numFmt w:val="bullet"/>
      <w:lvlText w:val="•"/>
      <w:lvlJc w:val="left"/>
      <w:pPr>
        <w:ind w:left="5724" w:hanging="361"/>
      </w:pPr>
      <w:rPr>
        <w:rFonts w:hint="default"/>
      </w:rPr>
    </w:lvl>
    <w:lvl w:ilvl="7">
      <w:start w:val="1"/>
      <w:numFmt w:val="bullet"/>
      <w:lvlText w:val="•"/>
      <w:lvlJc w:val="left"/>
      <w:pPr>
        <w:ind w:left="6753" w:hanging="361"/>
      </w:pPr>
      <w:rPr>
        <w:rFonts w:hint="default"/>
      </w:rPr>
    </w:lvl>
    <w:lvl w:ilvl="8">
      <w:start w:val="1"/>
      <w:numFmt w:val="bullet"/>
      <w:lvlText w:val="•"/>
      <w:lvlJc w:val="left"/>
      <w:pPr>
        <w:ind w:left="7782" w:hanging="361"/>
      </w:pPr>
      <w:rPr>
        <w:rFonts w:hint="default"/>
      </w:rPr>
    </w:lvl>
  </w:abstractNum>
  <w:abstractNum w:abstractNumId="1" w15:restartNumberingAfterBreak="0">
    <w:nsid w:val="48066443"/>
    <w:multiLevelType w:val="hybridMultilevel"/>
    <w:tmpl w:val="51524C64"/>
    <w:lvl w:ilvl="0" w:tplc="0E648870">
      <w:start w:val="1"/>
      <w:numFmt w:val="bullet"/>
      <w:lvlText w:val="●"/>
      <w:lvlJc w:val="left"/>
      <w:pPr>
        <w:ind w:left="479" w:hanging="361"/>
      </w:pPr>
      <w:rPr>
        <w:rFonts w:ascii="Arial" w:hAnsi="Arial" w:hint="default"/>
        <w:sz w:val="22"/>
        <w:szCs w:val="22"/>
      </w:rPr>
    </w:lvl>
    <w:lvl w:ilvl="1" w:tplc="B992A75A">
      <w:start w:val="1"/>
      <w:numFmt w:val="bullet"/>
      <w:lvlText w:val="•"/>
      <w:lvlJc w:val="left"/>
      <w:pPr>
        <w:ind w:left="1415" w:hanging="361"/>
      </w:pPr>
      <w:rPr>
        <w:rFonts w:hint="default"/>
      </w:rPr>
    </w:lvl>
    <w:lvl w:ilvl="2" w:tplc="B8EE2738">
      <w:start w:val="1"/>
      <w:numFmt w:val="bullet"/>
      <w:lvlText w:val="•"/>
      <w:lvlJc w:val="left"/>
      <w:pPr>
        <w:ind w:left="2351" w:hanging="361"/>
      </w:pPr>
      <w:rPr>
        <w:rFonts w:hint="default"/>
      </w:rPr>
    </w:lvl>
    <w:lvl w:ilvl="3" w:tplc="E33889EA">
      <w:start w:val="1"/>
      <w:numFmt w:val="bullet"/>
      <w:lvlText w:val="•"/>
      <w:lvlJc w:val="left"/>
      <w:pPr>
        <w:ind w:left="3287" w:hanging="361"/>
      </w:pPr>
      <w:rPr>
        <w:rFonts w:hint="default"/>
      </w:rPr>
    </w:lvl>
    <w:lvl w:ilvl="4" w:tplc="4FFA8EF8">
      <w:start w:val="1"/>
      <w:numFmt w:val="bullet"/>
      <w:lvlText w:val="•"/>
      <w:lvlJc w:val="left"/>
      <w:pPr>
        <w:ind w:left="4223" w:hanging="361"/>
      </w:pPr>
      <w:rPr>
        <w:rFonts w:hint="default"/>
      </w:rPr>
    </w:lvl>
    <w:lvl w:ilvl="5" w:tplc="5C78C38A">
      <w:start w:val="1"/>
      <w:numFmt w:val="bullet"/>
      <w:lvlText w:val="•"/>
      <w:lvlJc w:val="left"/>
      <w:pPr>
        <w:ind w:left="5159" w:hanging="361"/>
      </w:pPr>
      <w:rPr>
        <w:rFonts w:hint="default"/>
      </w:rPr>
    </w:lvl>
    <w:lvl w:ilvl="6" w:tplc="087868A4">
      <w:start w:val="1"/>
      <w:numFmt w:val="bullet"/>
      <w:lvlText w:val="•"/>
      <w:lvlJc w:val="left"/>
      <w:pPr>
        <w:ind w:left="6095" w:hanging="361"/>
      </w:pPr>
      <w:rPr>
        <w:rFonts w:hint="default"/>
      </w:rPr>
    </w:lvl>
    <w:lvl w:ilvl="7" w:tplc="C354EB98">
      <w:start w:val="1"/>
      <w:numFmt w:val="bullet"/>
      <w:lvlText w:val="•"/>
      <w:lvlJc w:val="left"/>
      <w:pPr>
        <w:ind w:left="7031" w:hanging="361"/>
      </w:pPr>
      <w:rPr>
        <w:rFonts w:hint="default"/>
      </w:rPr>
    </w:lvl>
    <w:lvl w:ilvl="8" w:tplc="AC5CF5AE">
      <w:start w:val="1"/>
      <w:numFmt w:val="bullet"/>
      <w:lvlText w:val="•"/>
      <w:lvlJc w:val="left"/>
      <w:pPr>
        <w:ind w:left="7967" w:hanging="361"/>
      </w:pPr>
      <w:rPr>
        <w:rFonts w:hint="default"/>
      </w:rPr>
    </w:lvl>
  </w:abstractNum>
  <w:abstractNum w:abstractNumId="2" w15:restartNumberingAfterBreak="0">
    <w:nsid w:val="5C671F8A"/>
    <w:multiLevelType w:val="hybridMultilevel"/>
    <w:tmpl w:val="53D8DB06"/>
    <w:lvl w:ilvl="0" w:tplc="33ACB852">
      <w:start w:val="1"/>
      <w:numFmt w:val="bullet"/>
      <w:lvlText w:val=""/>
      <w:lvlJc w:val="left"/>
      <w:pPr>
        <w:ind w:left="541" w:hanging="440"/>
      </w:pPr>
      <w:rPr>
        <w:rFonts w:ascii="Wingdings" w:eastAsia="Wingdings" w:hAnsi="Wingdings" w:hint="default"/>
        <w:w w:val="99"/>
        <w:sz w:val="24"/>
        <w:szCs w:val="24"/>
      </w:rPr>
    </w:lvl>
    <w:lvl w:ilvl="1" w:tplc="D4926EBC">
      <w:start w:val="1"/>
      <w:numFmt w:val="bullet"/>
      <w:lvlText w:val="•"/>
      <w:lvlJc w:val="left"/>
      <w:pPr>
        <w:ind w:left="1413" w:hanging="440"/>
      </w:pPr>
      <w:rPr>
        <w:rFonts w:hint="default"/>
      </w:rPr>
    </w:lvl>
    <w:lvl w:ilvl="2" w:tplc="A120E484">
      <w:start w:val="1"/>
      <w:numFmt w:val="bullet"/>
      <w:lvlText w:val="•"/>
      <w:lvlJc w:val="left"/>
      <w:pPr>
        <w:ind w:left="2285" w:hanging="440"/>
      </w:pPr>
      <w:rPr>
        <w:rFonts w:hint="default"/>
      </w:rPr>
    </w:lvl>
    <w:lvl w:ilvl="3" w:tplc="2ADCB2EC">
      <w:start w:val="1"/>
      <w:numFmt w:val="bullet"/>
      <w:lvlText w:val="•"/>
      <w:lvlJc w:val="left"/>
      <w:pPr>
        <w:ind w:left="3156" w:hanging="440"/>
      </w:pPr>
      <w:rPr>
        <w:rFonts w:hint="default"/>
      </w:rPr>
    </w:lvl>
    <w:lvl w:ilvl="4" w:tplc="B8203306">
      <w:start w:val="1"/>
      <w:numFmt w:val="bullet"/>
      <w:lvlText w:val="•"/>
      <w:lvlJc w:val="left"/>
      <w:pPr>
        <w:ind w:left="4028" w:hanging="440"/>
      </w:pPr>
      <w:rPr>
        <w:rFonts w:hint="default"/>
      </w:rPr>
    </w:lvl>
    <w:lvl w:ilvl="5" w:tplc="B47EBD04">
      <w:start w:val="1"/>
      <w:numFmt w:val="bullet"/>
      <w:lvlText w:val="•"/>
      <w:lvlJc w:val="left"/>
      <w:pPr>
        <w:ind w:left="4900" w:hanging="440"/>
      </w:pPr>
      <w:rPr>
        <w:rFonts w:hint="default"/>
      </w:rPr>
    </w:lvl>
    <w:lvl w:ilvl="6" w:tplc="D122C354">
      <w:start w:val="1"/>
      <w:numFmt w:val="bullet"/>
      <w:lvlText w:val="•"/>
      <w:lvlJc w:val="left"/>
      <w:pPr>
        <w:ind w:left="5772" w:hanging="440"/>
      </w:pPr>
      <w:rPr>
        <w:rFonts w:hint="default"/>
      </w:rPr>
    </w:lvl>
    <w:lvl w:ilvl="7" w:tplc="0AE69E96">
      <w:start w:val="1"/>
      <w:numFmt w:val="bullet"/>
      <w:lvlText w:val="•"/>
      <w:lvlJc w:val="left"/>
      <w:pPr>
        <w:ind w:left="6644" w:hanging="440"/>
      </w:pPr>
      <w:rPr>
        <w:rFonts w:hint="default"/>
      </w:rPr>
    </w:lvl>
    <w:lvl w:ilvl="8" w:tplc="6776A182">
      <w:start w:val="1"/>
      <w:numFmt w:val="bullet"/>
      <w:lvlText w:val="•"/>
      <w:lvlJc w:val="left"/>
      <w:pPr>
        <w:ind w:left="7515" w:hanging="440"/>
      </w:pPr>
      <w:rPr>
        <w:rFonts w:hint="default"/>
      </w:rPr>
    </w:lvl>
  </w:abstractNum>
  <w:abstractNum w:abstractNumId="3" w15:restartNumberingAfterBreak="0">
    <w:nsid w:val="60585C64"/>
    <w:multiLevelType w:val="multilevel"/>
    <w:tmpl w:val="323CB3F8"/>
    <w:lvl w:ilvl="0">
      <w:start w:val="2"/>
      <w:numFmt w:val="decimal"/>
      <w:lvlText w:val="%1"/>
      <w:lvlJc w:val="left"/>
      <w:pPr>
        <w:ind w:left="488" w:hanging="370"/>
        <w:jc w:val="left"/>
      </w:pPr>
      <w:rPr>
        <w:rFonts w:hint="default"/>
      </w:rPr>
    </w:lvl>
    <w:lvl w:ilvl="1">
      <w:start w:val="5"/>
      <w:numFmt w:val="decimal"/>
      <w:lvlText w:val="%1.%2"/>
      <w:lvlJc w:val="left"/>
      <w:pPr>
        <w:ind w:left="488" w:hanging="370"/>
        <w:jc w:val="left"/>
      </w:pPr>
      <w:rPr>
        <w:rFonts w:ascii="Arial" w:eastAsia="Arial" w:hAnsi="Arial" w:hint="default"/>
        <w:b/>
        <w:bCs/>
        <w:spacing w:val="-1"/>
        <w:sz w:val="22"/>
        <w:szCs w:val="22"/>
      </w:rPr>
    </w:lvl>
    <w:lvl w:ilvl="2">
      <w:start w:val="1"/>
      <w:numFmt w:val="bullet"/>
      <w:lvlText w:val=""/>
      <w:lvlJc w:val="left"/>
      <w:pPr>
        <w:ind w:left="580" w:hanging="361"/>
      </w:pPr>
      <w:rPr>
        <w:rFonts w:ascii="Symbol" w:eastAsia="Symbol" w:hAnsi="Symbol" w:hint="default"/>
        <w:sz w:val="22"/>
        <w:szCs w:val="22"/>
      </w:rPr>
    </w:lvl>
    <w:lvl w:ilvl="3">
      <w:start w:val="1"/>
      <w:numFmt w:val="bullet"/>
      <w:lvlText w:val="•"/>
      <w:lvlJc w:val="left"/>
      <w:pPr>
        <w:ind w:left="2637" w:hanging="361"/>
      </w:pPr>
      <w:rPr>
        <w:rFonts w:hint="default"/>
      </w:rPr>
    </w:lvl>
    <w:lvl w:ilvl="4">
      <w:start w:val="1"/>
      <w:numFmt w:val="bullet"/>
      <w:lvlText w:val="•"/>
      <w:lvlJc w:val="left"/>
      <w:pPr>
        <w:ind w:left="3666" w:hanging="361"/>
      </w:pPr>
      <w:rPr>
        <w:rFonts w:hint="default"/>
      </w:rPr>
    </w:lvl>
    <w:lvl w:ilvl="5">
      <w:start w:val="1"/>
      <w:numFmt w:val="bullet"/>
      <w:lvlText w:val="•"/>
      <w:lvlJc w:val="left"/>
      <w:pPr>
        <w:ind w:left="4695" w:hanging="361"/>
      </w:pPr>
      <w:rPr>
        <w:rFonts w:hint="default"/>
      </w:rPr>
    </w:lvl>
    <w:lvl w:ilvl="6">
      <w:start w:val="1"/>
      <w:numFmt w:val="bullet"/>
      <w:lvlText w:val="•"/>
      <w:lvlJc w:val="left"/>
      <w:pPr>
        <w:ind w:left="5724" w:hanging="361"/>
      </w:pPr>
      <w:rPr>
        <w:rFonts w:hint="default"/>
      </w:rPr>
    </w:lvl>
    <w:lvl w:ilvl="7">
      <w:start w:val="1"/>
      <w:numFmt w:val="bullet"/>
      <w:lvlText w:val="•"/>
      <w:lvlJc w:val="left"/>
      <w:pPr>
        <w:ind w:left="6753" w:hanging="361"/>
      </w:pPr>
      <w:rPr>
        <w:rFonts w:hint="default"/>
      </w:rPr>
    </w:lvl>
    <w:lvl w:ilvl="8">
      <w:start w:val="1"/>
      <w:numFmt w:val="bullet"/>
      <w:lvlText w:val="•"/>
      <w:lvlJc w:val="left"/>
      <w:pPr>
        <w:ind w:left="7782" w:hanging="361"/>
      </w:pPr>
      <w:rPr>
        <w:rFonts w:hint="default"/>
      </w:rPr>
    </w:lvl>
  </w:abstractNum>
  <w:abstractNum w:abstractNumId="4" w15:restartNumberingAfterBreak="0">
    <w:nsid w:val="62CE33E0"/>
    <w:multiLevelType w:val="hybridMultilevel"/>
    <w:tmpl w:val="862264AA"/>
    <w:lvl w:ilvl="0" w:tplc="5ACCC56E">
      <w:start w:val="1"/>
      <w:numFmt w:val="bullet"/>
      <w:lvlText w:val=""/>
      <w:lvlJc w:val="left"/>
      <w:pPr>
        <w:ind w:left="479" w:hanging="361"/>
      </w:pPr>
      <w:rPr>
        <w:rFonts w:ascii="Symbol" w:eastAsia="Symbol" w:hAnsi="Symbol" w:hint="default"/>
        <w:sz w:val="22"/>
        <w:szCs w:val="22"/>
      </w:rPr>
    </w:lvl>
    <w:lvl w:ilvl="1" w:tplc="B992A75A">
      <w:start w:val="1"/>
      <w:numFmt w:val="bullet"/>
      <w:lvlText w:val="•"/>
      <w:lvlJc w:val="left"/>
      <w:pPr>
        <w:ind w:left="1415" w:hanging="361"/>
      </w:pPr>
      <w:rPr>
        <w:rFonts w:hint="default"/>
      </w:rPr>
    </w:lvl>
    <w:lvl w:ilvl="2" w:tplc="B8EE2738">
      <w:start w:val="1"/>
      <w:numFmt w:val="bullet"/>
      <w:lvlText w:val="•"/>
      <w:lvlJc w:val="left"/>
      <w:pPr>
        <w:ind w:left="2351" w:hanging="361"/>
      </w:pPr>
      <w:rPr>
        <w:rFonts w:hint="default"/>
      </w:rPr>
    </w:lvl>
    <w:lvl w:ilvl="3" w:tplc="E33889EA">
      <w:start w:val="1"/>
      <w:numFmt w:val="bullet"/>
      <w:lvlText w:val="•"/>
      <w:lvlJc w:val="left"/>
      <w:pPr>
        <w:ind w:left="3287" w:hanging="361"/>
      </w:pPr>
      <w:rPr>
        <w:rFonts w:hint="default"/>
      </w:rPr>
    </w:lvl>
    <w:lvl w:ilvl="4" w:tplc="4FFA8EF8">
      <w:start w:val="1"/>
      <w:numFmt w:val="bullet"/>
      <w:lvlText w:val="•"/>
      <w:lvlJc w:val="left"/>
      <w:pPr>
        <w:ind w:left="4223" w:hanging="361"/>
      </w:pPr>
      <w:rPr>
        <w:rFonts w:hint="default"/>
      </w:rPr>
    </w:lvl>
    <w:lvl w:ilvl="5" w:tplc="5C78C38A">
      <w:start w:val="1"/>
      <w:numFmt w:val="bullet"/>
      <w:lvlText w:val="•"/>
      <w:lvlJc w:val="left"/>
      <w:pPr>
        <w:ind w:left="5159" w:hanging="361"/>
      </w:pPr>
      <w:rPr>
        <w:rFonts w:hint="default"/>
      </w:rPr>
    </w:lvl>
    <w:lvl w:ilvl="6" w:tplc="087868A4">
      <w:start w:val="1"/>
      <w:numFmt w:val="bullet"/>
      <w:lvlText w:val="•"/>
      <w:lvlJc w:val="left"/>
      <w:pPr>
        <w:ind w:left="6095" w:hanging="361"/>
      </w:pPr>
      <w:rPr>
        <w:rFonts w:hint="default"/>
      </w:rPr>
    </w:lvl>
    <w:lvl w:ilvl="7" w:tplc="C354EB98">
      <w:start w:val="1"/>
      <w:numFmt w:val="bullet"/>
      <w:lvlText w:val="•"/>
      <w:lvlJc w:val="left"/>
      <w:pPr>
        <w:ind w:left="7031" w:hanging="361"/>
      </w:pPr>
      <w:rPr>
        <w:rFonts w:hint="default"/>
      </w:rPr>
    </w:lvl>
    <w:lvl w:ilvl="8" w:tplc="AC5CF5AE">
      <w:start w:val="1"/>
      <w:numFmt w:val="bullet"/>
      <w:lvlText w:val="•"/>
      <w:lvlJc w:val="left"/>
      <w:pPr>
        <w:ind w:left="7967" w:hanging="361"/>
      </w:pPr>
      <w:rPr>
        <w:rFonts w:hint="default"/>
      </w:rPr>
    </w:lvl>
  </w:abstractNum>
  <w:abstractNum w:abstractNumId="5" w15:restartNumberingAfterBreak="0">
    <w:nsid w:val="6D0C2B40"/>
    <w:multiLevelType w:val="hybridMultilevel"/>
    <w:tmpl w:val="C798A1B0"/>
    <w:lvl w:ilvl="0" w:tplc="873A6274">
      <w:start w:val="1"/>
      <w:numFmt w:val="bullet"/>
      <w:lvlText w:val=""/>
      <w:lvlJc w:val="left"/>
      <w:pPr>
        <w:ind w:left="479" w:hanging="360"/>
      </w:pPr>
      <w:rPr>
        <w:rFonts w:ascii="Symbol" w:eastAsia="Symbol" w:hAnsi="Symbol" w:hint="default"/>
        <w:w w:val="99"/>
        <w:sz w:val="24"/>
        <w:szCs w:val="24"/>
      </w:rPr>
    </w:lvl>
    <w:lvl w:ilvl="1" w:tplc="98A0C2BE">
      <w:start w:val="1"/>
      <w:numFmt w:val="bullet"/>
      <w:lvlText w:val="•"/>
      <w:lvlJc w:val="left"/>
      <w:pPr>
        <w:ind w:left="1415" w:hanging="360"/>
      </w:pPr>
      <w:rPr>
        <w:rFonts w:hint="default"/>
      </w:rPr>
    </w:lvl>
    <w:lvl w:ilvl="2" w:tplc="9522DCE0">
      <w:start w:val="1"/>
      <w:numFmt w:val="bullet"/>
      <w:lvlText w:val="•"/>
      <w:lvlJc w:val="left"/>
      <w:pPr>
        <w:ind w:left="2351" w:hanging="360"/>
      </w:pPr>
      <w:rPr>
        <w:rFonts w:hint="default"/>
      </w:rPr>
    </w:lvl>
    <w:lvl w:ilvl="3" w:tplc="016C0AC2">
      <w:start w:val="1"/>
      <w:numFmt w:val="bullet"/>
      <w:lvlText w:val="•"/>
      <w:lvlJc w:val="left"/>
      <w:pPr>
        <w:ind w:left="3287" w:hanging="360"/>
      </w:pPr>
      <w:rPr>
        <w:rFonts w:hint="default"/>
      </w:rPr>
    </w:lvl>
    <w:lvl w:ilvl="4" w:tplc="FC1EA040">
      <w:start w:val="1"/>
      <w:numFmt w:val="bullet"/>
      <w:lvlText w:val="•"/>
      <w:lvlJc w:val="left"/>
      <w:pPr>
        <w:ind w:left="4223" w:hanging="360"/>
      </w:pPr>
      <w:rPr>
        <w:rFonts w:hint="default"/>
      </w:rPr>
    </w:lvl>
    <w:lvl w:ilvl="5" w:tplc="4F96BA50">
      <w:start w:val="1"/>
      <w:numFmt w:val="bullet"/>
      <w:lvlText w:val="•"/>
      <w:lvlJc w:val="left"/>
      <w:pPr>
        <w:ind w:left="5159" w:hanging="360"/>
      </w:pPr>
      <w:rPr>
        <w:rFonts w:hint="default"/>
      </w:rPr>
    </w:lvl>
    <w:lvl w:ilvl="6" w:tplc="11A4410C">
      <w:start w:val="1"/>
      <w:numFmt w:val="bullet"/>
      <w:lvlText w:val="•"/>
      <w:lvlJc w:val="left"/>
      <w:pPr>
        <w:ind w:left="6095" w:hanging="360"/>
      </w:pPr>
      <w:rPr>
        <w:rFonts w:hint="default"/>
      </w:rPr>
    </w:lvl>
    <w:lvl w:ilvl="7" w:tplc="E62A8DC6">
      <w:start w:val="1"/>
      <w:numFmt w:val="bullet"/>
      <w:lvlText w:val="•"/>
      <w:lvlJc w:val="left"/>
      <w:pPr>
        <w:ind w:left="7031" w:hanging="360"/>
      </w:pPr>
      <w:rPr>
        <w:rFonts w:hint="default"/>
      </w:rPr>
    </w:lvl>
    <w:lvl w:ilvl="8" w:tplc="68A02B04">
      <w:start w:val="1"/>
      <w:numFmt w:val="bullet"/>
      <w:lvlText w:val="•"/>
      <w:lvlJc w:val="left"/>
      <w:pPr>
        <w:ind w:left="7967" w:hanging="360"/>
      </w:pPr>
      <w:rPr>
        <w:rFonts w:hint="default"/>
      </w:rPr>
    </w:lvl>
  </w:abstractNum>
  <w:abstractNum w:abstractNumId="6" w15:restartNumberingAfterBreak="0">
    <w:nsid w:val="7B5E0CE1"/>
    <w:multiLevelType w:val="hybridMultilevel"/>
    <w:tmpl w:val="A4D88E40"/>
    <w:lvl w:ilvl="0" w:tplc="0E648870">
      <w:start w:val="1"/>
      <w:numFmt w:val="bullet"/>
      <w:lvlText w:val="●"/>
      <w:lvlJc w:val="left"/>
      <w:pPr>
        <w:ind w:left="479" w:hanging="360"/>
      </w:pPr>
      <w:rPr>
        <w:rFonts w:ascii="Arial" w:hAnsi="Arial" w:hint="default"/>
        <w:w w:val="99"/>
        <w:sz w:val="24"/>
        <w:szCs w:val="24"/>
      </w:rPr>
    </w:lvl>
    <w:lvl w:ilvl="1" w:tplc="98A0C2BE">
      <w:start w:val="1"/>
      <w:numFmt w:val="bullet"/>
      <w:lvlText w:val="•"/>
      <w:lvlJc w:val="left"/>
      <w:pPr>
        <w:ind w:left="1415" w:hanging="360"/>
      </w:pPr>
      <w:rPr>
        <w:rFonts w:hint="default"/>
      </w:rPr>
    </w:lvl>
    <w:lvl w:ilvl="2" w:tplc="9522DCE0">
      <w:start w:val="1"/>
      <w:numFmt w:val="bullet"/>
      <w:lvlText w:val="•"/>
      <w:lvlJc w:val="left"/>
      <w:pPr>
        <w:ind w:left="2351" w:hanging="360"/>
      </w:pPr>
      <w:rPr>
        <w:rFonts w:hint="default"/>
      </w:rPr>
    </w:lvl>
    <w:lvl w:ilvl="3" w:tplc="016C0AC2">
      <w:start w:val="1"/>
      <w:numFmt w:val="bullet"/>
      <w:lvlText w:val="•"/>
      <w:lvlJc w:val="left"/>
      <w:pPr>
        <w:ind w:left="3287" w:hanging="360"/>
      </w:pPr>
      <w:rPr>
        <w:rFonts w:hint="default"/>
      </w:rPr>
    </w:lvl>
    <w:lvl w:ilvl="4" w:tplc="FC1EA040">
      <w:start w:val="1"/>
      <w:numFmt w:val="bullet"/>
      <w:lvlText w:val="•"/>
      <w:lvlJc w:val="left"/>
      <w:pPr>
        <w:ind w:left="4223" w:hanging="360"/>
      </w:pPr>
      <w:rPr>
        <w:rFonts w:hint="default"/>
      </w:rPr>
    </w:lvl>
    <w:lvl w:ilvl="5" w:tplc="4F96BA50">
      <w:start w:val="1"/>
      <w:numFmt w:val="bullet"/>
      <w:lvlText w:val="•"/>
      <w:lvlJc w:val="left"/>
      <w:pPr>
        <w:ind w:left="5159" w:hanging="360"/>
      </w:pPr>
      <w:rPr>
        <w:rFonts w:hint="default"/>
      </w:rPr>
    </w:lvl>
    <w:lvl w:ilvl="6" w:tplc="11A4410C">
      <w:start w:val="1"/>
      <w:numFmt w:val="bullet"/>
      <w:lvlText w:val="•"/>
      <w:lvlJc w:val="left"/>
      <w:pPr>
        <w:ind w:left="6095" w:hanging="360"/>
      </w:pPr>
      <w:rPr>
        <w:rFonts w:hint="default"/>
      </w:rPr>
    </w:lvl>
    <w:lvl w:ilvl="7" w:tplc="E62A8DC6">
      <w:start w:val="1"/>
      <w:numFmt w:val="bullet"/>
      <w:lvlText w:val="•"/>
      <w:lvlJc w:val="left"/>
      <w:pPr>
        <w:ind w:left="7031" w:hanging="360"/>
      </w:pPr>
      <w:rPr>
        <w:rFonts w:hint="default"/>
      </w:rPr>
    </w:lvl>
    <w:lvl w:ilvl="8" w:tplc="68A02B04">
      <w:start w:val="1"/>
      <w:numFmt w:val="bullet"/>
      <w:lvlText w:val="•"/>
      <w:lvlJc w:val="left"/>
      <w:pPr>
        <w:ind w:left="7967" w:hanging="36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00"/>
    <w:rsid w:val="00022E7A"/>
    <w:rsid w:val="000A4312"/>
    <w:rsid w:val="000B1AE1"/>
    <w:rsid w:val="001079C9"/>
    <w:rsid w:val="001313C3"/>
    <w:rsid w:val="00247AA8"/>
    <w:rsid w:val="00304B4F"/>
    <w:rsid w:val="00347F05"/>
    <w:rsid w:val="00364638"/>
    <w:rsid w:val="004D1C47"/>
    <w:rsid w:val="004D6C1A"/>
    <w:rsid w:val="00551184"/>
    <w:rsid w:val="00571948"/>
    <w:rsid w:val="0058421A"/>
    <w:rsid w:val="005A3129"/>
    <w:rsid w:val="006F1DFA"/>
    <w:rsid w:val="00763DA0"/>
    <w:rsid w:val="008266CD"/>
    <w:rsid w:val="00881100"/>
    <w:rsid w:val="008841ED"/>
    <w:rsid w:val="00901E7E"/>
    <w:rsid w:val="00921719"/>
    <w:rsid w:val="00931293"/>
    <w:rsid w:val="009318B0"/>
    <w:rsid w:val="009767FC"/>
    <w:rsid w:val="00986EF0"/>
    <w:rsid w:val="00A0533D"/>
    <w:rsid w:val="00A355A0"/>
    <w:rsid w:val="00A64BA2"/>
    <w:rsid w:val="00B74A20"/>
    <w:rsid w:val="00C05CCF"/>
    <w:rsid w:val="00CB0396"/>
    <w:rsid w:val="00D24918"/>
    <w:rsid w:val="00D53E65"/>
    <w:rsid w:val="00D96BA4"/>
    <w:rsid w:val="00DB7644"/>
    <w:rsid w:val="00EB6C6C"/>
    <w:rsid w:val="00F5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96BAE"/>
  <w15:docId w15:val="{22C0BDA6-8C65-4D46-9C3A-879B2E96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218" w:hanging="670"/>
      <w:outlineLvl w:val="0"/>
    </w:pPr>
    <w:rPr>
      <w:rFonts w:ascii="Arial" w:eastAsia="宋体" w:hAnsi="Arial"/>
      <w:b/>
      <w:bCs/>
      <w:sz w:val="28"/>
      <w:szCs w:val="28"/>
    </w:rPr>
  </w:style>
  <w:style w:type="paragraph" w:styleId="2">
    <w:name w:val="heading 2"/>
    <w:basedOn w:val="a"/>
    <w:uiPriority w:val="1"/>
    <w:qFormat/>
    <w:pPr>
      <w:spacing w:before="72"/>
      <w:ind w:left="119"/>
      <w:outlineLvl w:val="1"/>
    </w:pPr>
    <w:rPr>
      <w:rFonts w:ascii="Arial" w:eastAsia="宋体" w:hAnsi="Arial"/>
      <w:b/>
      <w:bCs/>
    </w:rPr>
  </w:style>
  <w:style w:type="paragraph" w:styleId="3">
    <w:name w:val="heading 3"/>
    <w:basedOn w:val="a"/>
    <w:uiPriority w:val="1"/>
    <w:qFormat/>
    <w:pPr>
      <w:spacing w:before="72"/>
      <w:ind w:left="119"/>
      <w:outlineLvl w:val="2"/>
    </w:pPr>
    <w:rPr>
      <w:rFonts w:ascii="Arial" w:eastAsia="宋体" w:hAnsi="Arial"/>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rFonts w:ascii="Arial" w:eastAsia="宋体" w:hAnsi="Arial"/>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8421A"/>
    <w:rPr>
      <w:sz w:val="18"/>
      <w:szCs w:val="18"/>
    </w:rPr>
  </w:style>
  <w:style w:type="character" w:customStyle="1" w:styleId="a6">
    <w:name w:val="批注框文本 字符"/>
    <w:basedOn w:val="a0"/>
    <w:link w:val="a5"/>
    <w:uiPriority w:val="99"/>
    <w:semiHidden/>
    <w:rsid w:val="0058421A"/>
    <w:rPr>
      <w:sz w:val="18"/>
      <w:szCs w:val="18"/>
    </w:rPr>
  </w:style>
  <w:style w:type="paragraph" w:styleId="a7">
    <w:name w:val="header"/>
    <w:basedOn w:val="a"/>
    <w:link w:val="a8"/>
    <w:uiPriority w:val="99"/>
    <w:unhideWhenUsed/>
    <w:rsid w:val="0058421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8421A"/>
    <w:rPr>
      <w:sz w:val="18"/>
      <w:szCs w:val="18"/>
    </w:rPr>
  </w:style>
  <w:style w:type="paragraph" w:styleId="a9">
    <w:name w:val="footer"/>
    <w:basedOn w:val="a"/>
    <w:link w:val="aa"/>
    <w:uiPriority w:val="99"/>
    <w:unhideWhenUsed/>
    <w:rsid w:val="0058421A"/>
    <w:pPr>
      <w:tabs>
        <w:tab w:val="center" w:pos="4153"/>
        <w:tab w:val="right" w:pos="8306"/>
      </w:tabs>
      <w:snapToGrid w:val="0"/>
    </w:pPr>
    <w:rPr>
      <w:sz w:val="18"/>
      <w:szCs w:val="18"/>
    </w:rPr>
  </w:style>
  <w:style w:type="character" w:customStyle="1" w:styleId="aa">
    <w:name w:val="页脚 字符"/>
    <w:basedOn w:val="a0"/>
    <w:link w:val="a9"/>
    <w:uiPriority w:val="99"/>
    <w:rsid w:val="0058421A"/>
    <w:rPr>
      <w:sz w:val="18"/>
      <w:szCs w:val="18"/>
    </w:rPr>
  </w:style>
  <w:style w:type="table" w:styleId="ab">
    <w:name w:val="Table Grid"/>
    <w:basedOn w:val="a1"/>
    <w:uiPriority w:val="59"/>
    <w:rsid w:val="00247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22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Raffles Medical Group_Media Release_FYE2020_Results Announcement_22 Feb 2021</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Raffles Medical Group_Media Release_FYE2020_Results Announcement_22 Feb 2021</dc:title>
  <dc:creator>chootianyun</dc:creator>
  <cp:lastModifiedBy>Maria Ma</cp:lastModifiedBy>
  <cp:revision>3</cp:revision>
  <dcterms:created xsi:type="dcterms:W3CDTF">2021-03-04T06:40:00Z</dcterms:created>
  <dcterms:modified xsi:type="dcterms:W3CDTF">2021-03-04T08:57:00Z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2021-02-21T00:00:00Z</vt:filetime>
  </property>
  <property fmtid="{D5CDD505-2E9C-101B-9397-08002B2CF9AE}" pid="3" name="LastSaved">
    <vt:filetime>2021-02-23T00:00:00Z</vt:filetime>
  </property>
</Properties>
</file>